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WKZB-2026-012</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胶塞</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六年八</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WKZB-2026-012</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胶塞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2</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丁基胶塞</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2BA38131">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bookmarkStart w:id="15" w:name="_Toc15843"/>
      <w:bookmarkStart w:id="16" w:name="_Toc1963"/>
      <w:bookmarkStart w:id="17" w:name="_Toc23826"/>
      <w:r>
        <w:rPr>
          <w:rFonts w:hint="eastAsia" w:ascii="宋体" w:hAnsi="宋体" w:cs="宋体"/>
          <w:szCs w:val="21"/>
          <w:highlight w:val="none"/>
          <w:lang w:val="zh-CN" w:bidi="zh-CN"/>
        </w:rPr>
        <w:t>(00</w:t>
      </w:r>
      <w:r>
        <w:rPr>
          <w:rFonts w:hint="eastAsia" w:ascii="宋体" w:hAnsi="宋体" w:cs="宋体"/>
          <w:szCs w:val="21"/>
          <w:highlight w:val="none"/>
          <w:lang w:val="en-US" w:bidi="zh-CN"/>
        </w:rPr>
        <w:t>2</w:t>
      </w:r>
      <w:r>
        <w:rPr>
          <w:rFonts w:hint="eastAsia" w:ascii="宋体" w:hAnsi="宋体" w:cs="宋体"/>
          <w:szCs w:val="21"/>
          <w:highlight w:val="none"/>
          <w:lang w:val="zh-CN" w:bidi="zh-CN"/>
        </w:rPr>
        <w:t>)</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丁腈胶塞</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276CA457">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en-US" w:bidi="zh-CN"/>
        </w:rPr>
        <w:t>分别投标两个标段，需分别制作不同标段的投标文件、报价单，并在邮寄材料密封处注明招标编号及标段名称。</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w:t>
      </w:r>
      <w:r>
        <w:rPr>
          <w:rFonts w:hint="eastAsia" w:ascii="宋体" w:hAnsi="宋体" w:cs="宋体"/>
          <w:bCs/>
          <w:szCs w:val="21"/>
          <w:highlight w:val="none"/>
          <w:lang w:val="en-US" w:eastAsia="zh-CN"/>
        </w:rPr>
        <w:t>上一年度</w:t>
      </w:r>
      <w:r>
        <w:rPr>
          <w:rFonts w:hint="eastAsia" w:ascii="宋体" w:hAnsi="宋体" w:cs="宋体"/>
          <w:bCs/>
          <w:szCs w:val="21"/>
          <w:highlight w:val="none"/>
        </w:rPr>
        <w:t>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04F16D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w:t>
      </w:r>
      <w:r>
        <w:rPr>
          <w:rFonts w:hint="eastAsia" w:ascii="宋体" w:hAnsi="宋体" w:cs="宋体"/>
          <w:color w:val="FF0000"/>
          <w:szCs w:val="21"/>
          <w:highlight w:val="none"/>
          <w:lang w:val="en-US" w:bidi="zh-CN"/>
        </w:rPr>
        <w:t>每包</w:t>
      </w:r>
      <w:r>
        <w:rPr>
          <w:rFonts w:hint="eastAsia" w:ascii="宋体" w:hAnsi="宋体" w:cs="宋体"/>
          <w:szCs w:val="21"/>
          <w:highlight w:val="none"/>
          <w:lang w:bidi="zh-CN"/>
        </w:rPr>
        <w:t>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商入围胶塞项目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6177"/>
      <w:bookmarkStart w:id="31" w:name="_Toc14869"/>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152045527"/>
      <w:bookmarkStart w:id="37" w:name="_Toc179632544"/>
      <w:bookmarkStart w:id="38" w:name="_Toc152042303"/>
      <w:bookmarkStart w:id="39" w:name="_Toc390940505"/>
      <w:bookmarkStart w:id="40" w:name="_Toc233102490"/>
      <w:bookmarkStart w:id="41" w:name="_Toc144974495"/>
      <w:bookmarkStart w:id="42" w:name="_Toc2922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根据采购公告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16713"/>
      <w:bookmarkStart w:id="45" w:name="_Toc41522252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415222524"/>
      <w:bookmarkStart w:id="51" w:name="_Toc216582813"/>
      <w:bookmarkStart w:id="52" w:name="_Toc109736069"/>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Toc19517"/>
      <w:bookmarkStart w:id="58" w:name="_Toc415222525"/>
      <w:bookmarkStart w:id="59" w:name="_Toc109736070"/>
      <w:bookmarkStart w:id="60" w:name="_Toc216582814"/>
      <w:bookmarkStart w:id="61" w:name="_Ref467988705"/>
      <w:bookmarkStart w:id="62" w:name="_Toc480942350"/>
      <w:bookmarkStart w:id="63" w:name="_Toc520356218"/>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7D48268F">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WKZB-2026-012</w:t>
      </w:r>
      <w:r>
        <w:rPr>
          <w:rFonts w:hint="eastAsia" w:hAnsi="宋体"/>
          <w:szCs w:val="21"/>
          <w:highlight w:val="none"/>
          <w:u w:val="single"/>
        </w:rPr>
        <w:t xml:space="preserve">                     </w:t>
      </w:r>
    </w:p>
    <w:p w14:paraId="460C3855">
      <w:pPr>
        <w:tabs>
          <w:tab w:val="left" w:pos="1800"/>
          <w:tab w:val="left" w:pos="5580"/>
        </w:tabs>
        <w:spacing w:line="360" w:lineRule="auto"/>
        <w:rPr>
          <w:rFonts w:hAnsi="宋体"/>
          <w:szCs w:val="21"/>
          <w:highlight w:val="none"/>
          <w:u w:val="single"/>
        </w:rPr>
      </w:pPr>
      <w:r>
        <w:rPr>
          <w:rFonts w:hint="eastAsia" w:hAnsi="宋体"/>
          <w:szCs w:val="21"/>
          <w:highlight w:val="none"/>
          <w:u w:val="none"/>
          <w:lang w:val="en-US" w:eastAsia="zh-CN"/>
        </w:rPr>
        <w:t>包段：</w:t>
      </w:r>
      <w:r>
        <w:rPr>
          <w:rFonts w:hint="eastAsia" w:hAnsi="宋体"/>
          <w:szCs w:val="21"/>
          <w:highlight w:val="none"/>
          <w:u w:val="single"/>
          <w:lang w:val="en-US" w:eastAsia="zh-CN"/>
        </w:rPr>
        <w:t xml:space="preserve">(001)国药集团扬州威克生物工程有限公司丁基胶塞采购; </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531"/>
        <w:gridCol w:w="1531"/>
        <w:gridCol w:w="1601"/>
        <w:gridCol w:w="1651"/>
        <w:gridCol w:w="1593"/>
        <w:gridCol w:w="1394"/>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0" w:type="pct"/>
            <w:gridSpan w:val="2"/>
            <w:vAlign w:val="center"/>
          </w:tcPr>
          <w:p w14:paraId="2B9C5326">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瓶签/箱签名称</w:t>
            </w:r>
          </w:p>
        </w:tc>
        <w:tc>
          <w:tcPr>
            <w:tcW w:w="792" w:type="pct"/>
            <w:vAlign w:val="center"/>
          </w:tcPr>
          <w:p w14:paraId="7945DC75">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规格</w:t>
            </w:r>
          </w:p>
        </w:tc>
        <w:tc>
          <w:tcPr>
            <w:tcW w:w="828" w:type="pct"/>
            <w:vAlign w:val="center"/>
          </w:tcPr>
          <w:p w14:paraId="74B5A764">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货号</w:t>
            </w:r>
          </w:p>
        </w:tc>
        <w:tc>
          <w:tcPr>
            <w:tcW w:w="854" w:type="pct"/>
            <w:vAlign w:val="center"/>
          </w:tcPr>
          <w:p w14:paraId="2FF5EF85">
            <w:pPr>
              <w:spacing w:line="380" w:lineRule="exact"/>
              <w:jc w:val="center"/>
              <w:rPr>
                <w:rFonts w:ascii="仿宋" w:hAnsi="仿宋" w:eastAsia="仿宋" w:cs="仿宋"/>
                <w:sz w:val="18"/>
                <w:szCs w:val="18"/>
                <w:highlight w:val="none"/>
              </w:rPr>
            </w:pPr>
            <w:r>
              <w:rPr>
                <w:rFonts w:hint="eastAsia" w:ascii="仿宋" w:hAnsi="仿宋" w:eastAsia="仿宋" w:cs="仿宋"/>
                <w:sz w:val="18"/>
                <w:szCs w:val="18"/>
                <w:highlight w:val="none"/>
                <w:lang w:val="en-US" w:eastAsia="zh-CN"/>
              </w:rPr>
              <w:t>单价</w:t>
            </w:r>
            <w:r>
              <w:rPr>
                <w:rFonts w:hint="eastAsia" w:ascii="仿宋" w:hAnsi="仿宋" w:eastAsia="仿宋" w:cs="仿宋"/>
                <w:sz w:val="18"/>
                <w:szCs w:val="18"/>
                <w:highlight w:val="none"/>
              </w:rPr>
              <w:t>（</w:t>
            </w:r>
            <w:r>
              <w:rPr>
                <w:rFonts w:hint="eastAsia" w:ascii="仿宋" w:hAnsi="仿宋" w:eastAsia="仿宋" w:cs="仿宋"/>
                <w:sz w:val="18"/>
                <w:szCs w:val="18"/>
                <w:highlight w:val="none"/>
                <w:lang w:val="en-US" w:eastAsia="zh-CN"/>
              </w:rPr>
              <w:t>元/只</w:t>
            </w:r>
            <w:r>
              <w:rPr>
                <w:rFonts w:hint="eastAsia" w:ascii="仿宋" w:hAnsi="仿宋" w:eastAsia="仿宋" w:cs="仿宋"/>
                <w:sz w:val="18"/>
                <w:szCs w:val="18"/>
                <w:highlight w:val="none"/>
              </w:rPr>
              <w:t>）</w:t>
            </w:r>
          </w:p>
        </w:tc>
        <w:tc>
          <w:tcPr>
            <w:tcW w:w="824" w:type="pct"/>
            <w:vAlign w:val="center"/>
          </w:tcPr>
          <w:p w14:paraId="77D0A174">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预计年度</w:t>
            </w:r>
          </w:p>
          <w:p w14:paraId="6A1C4221">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采购总量（万只）</w:t>
            </w:r>
          </w:p>
        </w:tc>
        <w:tc>
          <w:tcPr>
            <w:tcW w:w="720" w:type="pct"/>
            <w:vAlign w:val="center"/>
          </w:tcPr>
          <w:p w14:paraId="32B39F3B">
            <w:pPr>
              <w:spacing w:line="38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备注</w:t>
            </w:r>
          </w:p>
          <w:p w14:paraId="6307A900">
            <w:pPr>
              <w:spacing w:line="380" w:lineRule="exact"/>
              <w:jc w:val="center"/>
              <w:rPr>
                <w:rFonts w:hint="default" w:ascii="仿宋" w:hAnsi="仿宋" w:eastAsia="仿宋" w:cs="仿宋"/>
                <w:sz w:val="18"/>
                <w:szCs w:val="18"/>
                <w:highlight w:val="none"/>
                <w:lang w:val="en-US" w:eastAsia="zh-CN"/>
              </w:rPr>
            </w:pP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980" w:type="pct"/>
            <w:gridSpan w:val="2"/>
            <w:tcBorders>
              <w:bottom w:val="single" w:color="auto" w:sz="4" w:space="0"/>
              <w:right w:val="single" w:color="auto" w:sz="4" w:space="0"/>
            </w:tcBorders>
            <w:vAlign w:val="center"/>
          </w:tcPr>
          <w:p w14:paraId="71FFFB7A">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rPr>
              <w:t>丁基胶塞</w:t>
            </w:r>
          </w:p>
        </w:tc>
        <w:tc>
          <w:tcPr>
            <w:tcW w:w="792"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rPr>
              <w:t>Ø20</w:t>
            </w:r>
          </w:p>
        </w:tc>
        <w:tc>
          <w:tcPr>
            <w:tcW w:w="828"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left"/>
              <w:textAlignment w:val="center"/>
              <w:rPr>
                <w:rFonts w:hint="eastAsia" w:ascii="宋体" w:hAnsi="宋体" w:eastAsia="宋体" w:cs="宋体"/>
                <w:sz w:val="21"/>
                <w:szCs w:val="21"/>
                <w:highlight w:val="none"/>
              </w:rPr>
            </w:pPr>
          </w:p>
        </w:tc>
        <w:tc>
          <w:tcPr>
            <w:tcW w:w="854" w:type="pct"/>
            <w:tcBorders>
              <w:left w:val="single" w:color="auto" w:sz="4" w:space="0"/>
              <w:bottom w:val="single" w:color="auto" w:sz="4" w:space="0"/>
              <w:right w:val="single" w:color="auto" w:sz="4" w:space="0"/>
            </w:tcBorders>
            <w:vAlign w:val="center"/>
          </w:tcPr>
          <w:p w14:paraId="54A4B780">
            <w:pPr>
              <w:keepNext w:val="0"/>
              <w:keepLines w:val="0"/>
              <w:widowControl/>
              <w:suppressLineNumbers w:val="0"/>
              <w:jc w:val="center"/>
              <w:textAlignment w:val="center"/>
              <w:rPr>
                <w:rFonts w:hint="eastAsia" w:ascii="宋体" w:hAnsi="宋体" w:eastAsia="宋体" w:cs="宋体"/>
                <w:sz w:val="21"/>
                <w:szCs w:val="21"/>
                <w:highlight w:val="none"/>
              </w:rPr>
            </w:pPr>
          </w:p>
        </w:tc>
        <w:tc>
          <w:tcPr>
            <w:tcW w:w="824" w:type="pct"/>
            <w:tcBorders>
              <w:left w:val="single" w:color="auto" w:sz="4" w:space="0"/>
              <w:bottom w:val="single" w:color="auto" w:sz="4" w:space="0"/>
              <w:right w:val="single" w:color="auto" w:sz="4" w:space="0"/>
            </w:tcBorders>
            <w:shd w:val="clear" w:color="auto" w:fill="auto"/>
            <w:vAlign w:val="center"/>
          </w:tcPr>
          <w:p w14:paraId="5EC2FADC">
            <w:pPr>
              <w:keepNext w:val="0"/>
              <w:keepLines w:val="0"/>
              <w:widowControl/>
              <w:suppressLineNumbers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506</w:t>
            </w:r>
          </w:p>
        </w:tc>
        <w:tc>
          <w:tcPr>
            <w:tcW w:w="720" w:type="pct"/>
            <w:tcBorders>
              <w:left w:val="single" w:color="auto" w:sz="4" w:space="0"/>
              <w:bottom w:val="single" w:color="auto" w:sz="4" w:space="0"/>
            </w:tcBorders>
            <w:vAlign w:val="center"/>
          </w:tcPr>
          <w:p w14:paraId="4EF3EE4B">
            <w:pPr>
              <w:spacing w:line="380" w:lineRule="exact"/>
              <w:jc w:val="center"/>
              <w:rPr>
                <w:rFonts w:hint="eastAsia" w:ascii="宋体" w:hAnsi="宋体" w:eastAsia="宋体" w:cs="宋体"/>
                <w:sz w:val="21"/>
                <w:szCs w:val="21"/>
                <w:highlight w:val="none"/>
                <w:lang w:val="en-US" w:eastAsia="zh-CN"/>
              </w:rPr>
            </w:pPr>
          </w:p>
        </w:tc>
      </w:tr>
      <w:tr w14:paraId="5BDF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gridSpan w:val="2"/>
            <w:tcBorders>
              <w:bottom w:val="single" w:color="auto" w:sz="4" w:space="0"/>
              <w:right w:val="single" w:color="auto" w:sz="4" w:space="0"/>
            </w:tcBorders>
            <w:vAlign w:val="center"/>
          </w:tcPr>
          <w:p w14:paraId="16ACB6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92" w:type="pct"/>
            <w:tcBorders>
              <w:left w:val="single" w:color="auto" w:sz="4" w:space="0"/>
              <w:bottom w:val="single" w:color="auto" w:sz="4" w:space="0"/>
              <w:right w:val="single" w:color="auto" w:sz="4" w:space="0"/>
            </w:tcBorders>
            <w:vAlign w:val="center"/>
          </w:tcPr>
          <w:p w14:paraId="031195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8" w:type="pct"/>
            <w:tcBorders>
              <w:left w:val="single" w:color="auto" w:sz="4" w:space="0"/>
              <w:bottom w:val="single" w:color="auto" w:sz="4" w:space="0"/>
              <w:right w:val="single" w:color="auto" w:sz="4" w:space="0"/>
            </w:tcBorders>
            <w:vAlign w:val="center"/>
          </w:tcPr>
          <w:p w14:paraId="429A0C7D">
            <w:pPr>
              <w:keepNext w:val="0"/>
              <w:keepLines w:val="0"/>
              <w:widowControl/>
              <w:suppressLineNumbers w:val="0"/>
              <w:jc w:val="left"/>
              <w:textAlignment w:val="center"/>
              <w:rPr>
                <w:rFonts w:ascii="仿宋" w:hAnsi="仿宋" w:eastAsia="仿宋" w:cs="仿宋"/>
                <w:sz w:val="18"/>
                <w:szCs w:val="18"/>
                <w:highlight w:val="none"/>
              </w:rPr>
            </w:pPr>
          </w:p>
        </w:tc>
        <w:tc>
          <w:tcPr>
            <w:tcW w:w="854" w:type="pct"/>
            <w:tcBorders>
              <w:left w:val="single" w:color="auto" w:sz="4" w:space="0"/>
              <w:bottom w:val="single" w:color="auto" w:sz="4" w:space="0"/>
              <w:right w:val="single" w:color="auto" w:sz="4" w:space="0"/>
            </w:tcBorders>
            <w:vAlign w:val="center"/>
          </w:tcPr>
          <w:p w14:paraId="13905A32">
            <w:pPr>
              <w:keepNext w:val="0"/>
              <w:keepLines w:val="0"/>
              <w:widowControl/>
              <w:suppressLineNumbers w:val="0"/>
              <w:jc w:val="center"/>
              <w:textAlignment w:val="center"/>
              <w:rPr>
                <w:rFonts w:ascii="仿宋" w:hAnsi="仿宋" w:eastAsia="仿宋" w:cs="仿宋"/>
                <w:sz w:val="18"/>
                <w:szCs w:val="18"/>
                <w:highlight w:val="none"/>
              </w:rPr>
            </w:pPr>
          </w:p>
        </w:tc>
        <w:tc>
          <w:tcPr>
            <w:tcW w:w="824" w:type="pct"/>
            <w:tcBorders>
              <w:left w:val="single" w:color="auto" w:sz="4" w:space="0"/>
              <w:bottom w:val="single" w:color="auto" w:sz="4" w:space="0"/>
              <w:right w:val="single" w:color="auto" w:sz="4" w:space="0"/>
            </w:tcBorders>
            <w:shd w:val="clear" w:color="auto" w:fill="auto"/>
            <w:vAlign w:val="center"/>
          </w:tcPr>
          <w:p w14:paraId="3F1D8154">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p>
        </w:tc>
        <w:tc>
          <w:tcPr>
            <w:tcW w:w="720" w:type="pct"/>
            <w:tcBorders>
              <w:left w:val="single" w:color="auto" w:sz="4" w:space="0"/>
              <w:bottom w:val="single" w:color="auto" w:sz="4" w:space="0"/>
            </w:tcBorders>
            <w:vAlign w:val="center"/>
          </w:tcPr>
          <w:p w14:paraId="7C0DD496">
            <w:pPr>
              <w:spacing w:line="380" w:lineRule="exact"/>
              <w:jc w:val="center"/>
              <w:rPr>
                <w:rFonts w:hint="default" w:ascii="仿宋" w:hAnsi="仿宋" w:eastAsia="仿宋" w:cs="仿宋"/>
                <w:sz w:val="18"/>
                <w:szCs w:val="18"/>
                <w:highlight w:val="none"/>
                <w:lang w:val="en-US" w:eastAsia="zh-CN"/>
              </w:rPr>
            </w:pP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gridSpan w:val="2"/>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4019" w:type="pct"/>
            <w:gridSpan w:val="5"/>
            <w:tcBorders>
              <w:left w:val="single" w:color="auto" w:sz="4" w:space="0"/>
              <w:bottom w:val="single" w:color="auto" w:sz="4" w:space="0"/>
            </w:tcBorders>
            <w:vAlign w:val="center"/>
          </w:tcPr>
          <w:p w14:paraId="6A6F2FD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0" w:type="pct"/>
            <w:gridSpan w:val="2"/>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4019" w:type="pct"/>
            <w:gridSpan w:val="5"/>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5" w:type="pct"/>
            <w:vAlign w:val="center"/>
          </w:tcPr>
          <w:p w14:paraId="1FD609F7">
            <w:pPr>
              <w:pStyle w:val="20"/>
              <w:rPr>
                <w:rFonts w:hint="eastAsia" w:ascii="宋体" w:hAnsi="宋体" w:eastAsia="宋体" w:cs="Times New Roman"/>
                <w:szCs w:val="21"/>
                <w:highlight w:val="none"/>
              </w:rPr>
            </w:pPr>
          </w:p>
        </w:tc>
        <w:tc>
          <w:tcPr>
            <w:tcW w:w="4294" w:type="pct"/>
            <w:gridSpan w:val="6"/>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5" w:type="pct"/>
            <w:vAlign w:val="center"/>
          </w:tcPr>
          <w:p w14:paraId="1DECAF43">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294" w:type="pct"/>
            <w:gridSpan w:val="6"/>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供货期是指订单下达到商品运送指定地点的日期,包含物流货运时间</w:t>
            </w:r>
          </w:p>
          <w:p w14:paraId="7C5E5610">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color w:val="FF0000"/>
                <w:szCs w:val="21"/>
                <w:highlight w:val="none"/>
                <w:lang w:val="en-US" w:eastAsia="zh-CN"/>
              </w:rPr>
              <w:t>如符合用户需求的胶塞同一规格存在不同价格的不同型号，可分别报价，评标时取最高价</w:t>
            </w:r>
          </w:p>
        </w:tc>
      </w:tr>
    </w:tbl>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415222529"/>
      <w:bookmarkStart w:id="65" w:name="_Toc216582818"/>
      <w:bookmarkStart w:id="66" w:name="_Toc109736072"/>
    </w:p>
    <w:p w14:paraId="457F6E64">
      <w:pPr>
        <w:rPr>
          <w:rFonts w:hint="eastAsia" w:hAnsi="宋体"/>
          <w:szCs w:val="21"/>
          <w:highlight w:val="none"/>
        </w:rPr>
      </w:pPr>
      <w:r>
        <w:rPr>
          <w:rFonts w:hint="eastAsia" w:hAnsi="宋体"/>
          <w:szCs w:val="21"/>
          <w:highlight w:val="none"/>
        </w:rPr>
        <w:br w:type="page"/>
      </w:r>
    </w:p>
    <w:p w14:paraId="1856F854">
      <w:pPr>
        <w:pStyle w:val="3"/>
        <w:tabs>
          <w:tab w:val="left" w:pos="5580"/>
        </w:tabs>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附件2　开标一览表</w:t>
      </w:r>
    </w:p>
    <w:p w14:paraId="10BD79E0">
      <w:pPr>
        <w:rPr>
          <w:rFonts w:hint="eastAsia"/>
          <w:highlight w:val="none"/>
        </w:rPr>
      </w:pPr>
    </w:p>
    <w:p w14:paraId="1A82884C">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WKZB-2026-012</w:t>
      </w:r>
      <w:r>
        <w:rPr>
          <w:rFonts w:hint="eastAsia" w:hAnsi="宋体"/>
          <w:szCs w:val="21"/>
          <w:highlight w:val="none"/>
          <w:u w:val="single"/>
        </w:rPr>
        <w:t xml:space="preserve">                     </w:t>
      </w:r>
    </w:p>
    <w:p w14:paraId="4604E288">
      <w:pPr>
        <w:tabs>
          <w:tab w:val="left" w:pos="1800"/>
          <w:tab w:val="left" w:pos="5580"/>
        </w:tabs>
        <w:spacing w:line="360" w:lineRule="auto"/>
        <w:rPr>
          <w:rFonts w:hAnsi="宋体"/>
          <w:szCs w:val="21"/>
          <w:highlight w:val="none"/>
          <w:u w:val="single"/>
        </w:rPr>
      </w:pPr>
      <w:r>
        <w:rPr>
          <w:rFonts w:hint="eastAsia" w:hAnsi="宋体"/>
          <w:szCs w:val="21"/>
          <w:highlight w:val="none"/>
          <w:u w:val="none"/>
          <w:lang w:val="en-US" w:eastAsia="zh-CN"/>
        </w:rPr>
        <w:t>包段：</w:t>
      </w:r>
      <w:r>
        <w:rPr>
          <w:rFonts w:hint="eastAsia" w:hAnsi="宋体"/>
          <w:szCs w:val="21"/>
          <w:highlight w:val="none"/>
          <w:u w:val="single"/>
          <w:lang w:val="en-US" w:eastAsia="zh-CN"/>
        </w:rPr>
        <w:t xml:space="preserve">(002)国药集团扬州威克生物工程有限公司丁腈胶塞采购; </w:t>
      </w:r>
      <w:r>
        <w:rPr>
          <w:rFonts w:hint="eastAsia" w:hAnsi="宋体"/>
          <w:szCs w:val="21"/>
          <w:highlight w:val="none"/>
          <w:u w:val="single"/>
        </w:rPr>
        <w:t xml:space="preserve"> </w:t>
      </w:r>
    </w:p>
    <w:p w14:paraId="4F8C01C3">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0B8A5C3F">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530"/>
        <w:gridCol w:w="2047"/>
        <w:gridCol w:w="1369"/>
        <w:gridCol w:w="1369"/>
        <w:gridCol w:w="1575"/>
        <w:gridCol w:w="1407"/>
      </w:tblGrid>
      <w:tr w14:paraId="2B83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981" w:type="pct"/>
            <w:gridSpan w:val="2"/>
            <w:vAlign w:val="center"/>
          </w:tcPr>
          <w:p w14:paraId="1C18100A">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物料名称</w:t>
            </w:r>
          </w:p>
        </w:tc>
        <w:tc>
          <w:tcPr>
            <w:tcW w:w="1059" w:type="pct"/>
            <w:vAlign w:val="center"/>
          </w:tcPr>
          <w:p w14:paraId="3B248FEF">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规格</w:t>
            </w:r>
          </w:p>
        </w:tc>
        <w:tc>
          <w:tcPr>
            <w:tcW w:w="708" w:type="pct"/>
            <w:vAlign w:val="center"/>
          </w:tcPr>
          <w:p w14:paraId="60E01432">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货号</w:t>
            </w:r>
          </w:p>
        </w:tc>
        <w:tc>
          <w:tcPr>
            <w:tcW w:w="708" w:type="pct"/>
            <w:vAlign w:val="center"/>
          </w:tcPr>
          <w:p w14:paraId="6C4A1141">
            <w:pPr>
              <w:spacing w:line="380" w:lineRule="exact"/>
              <w:jc w:val="center"/>
              <w:rPr>
                <w:rFonts w:ascii="仿宋" w:hAnsi="仿宋" w:eastAsia="仿宋" w:cs="仿宋"/>
                <w:sz w:val="18"/>
                <w:szCs w:val="18"/>
                <w:highlight w:val="none"/>
              </w:rPr>
            </w:pPr>
            <w:r>
              <w:rPr>
                <w:rFonts w:hint="eastAsia" w:ascii="仿宋" w:hAnsi="仿宋" w:eastAsia="仿宋" w:cs="仿宋"/>
                <w:sz w:val="18"/>
                <w:szCs w:val="18"/>
                <w:highlight w:val="none"/>
                <w:lang w:val="en-US" w:eastAsia="zh-CN"/>
              </w:rPr>
              <w:t>单价</w:t>
            </w:r>
            <w:r>
              <w:rPr>
                <w:rFonts w:hint="eastAsia" w:ascii="仿宋" w:hAnsi="仿宋" w:eastAsia="仿宋" w:cs="仿宋"/>
                <w:sz w:val="18"/>
                <w:szCs w:val="18"/>
                <w:highlight w:val="none"/>
              </w:rPr>
              <w:t>（</w:t>
            </w:r>
            <w:r>
              <w:rPr>
                <w:rFonts w:hint="eastAsia" w:ascii="仿宋" w:hAnsi="仿宋" w:eastAsia="仿宋" w:cs="仿宋"/>
                <w:sz w:val="18"/>
                <w:szCs w:val="18"/>
                <w:highlight w:val="none"/>
                <w:lang w:val="en-US" w:eastAsia="zh-CN"/>
              </w:rPr>
              <w:t>元/只</w:t>
            </w:r>
            <w:r>
              <w:rPr>
                <w:rFonts w:hint="eastAsia" w:ascii="仿宋" w:hAnsi="仿宋" w:eastAsia="仿宋" w:cs="仿宋"/>
                <w:sz w:val="18"/>
                <w:szCs w:val="18"/>
                <w:highlight w:val="none"/>
              </w:rPr>
              <w:t>）</w:t>
            </w:r>
          </w:p>
        </w:tc>
        <w:tc>
          <w:tcPr>
            <w:tcW w:w="815" w:type="pct"/>
            <w:vAlign w:val="center"/>
          </w:tcPr>
          <w:p w14:paraId="54139F82">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预计年度</w:t>
            </w:r>
          </w:p>
          <w:p w14:paraId="47AF42C4">
            <w:pPr>
              <w:spacing w:line="380" w:lineRule="exact"/>
              <w:jc w:val="center"/>
              <w:rPr>
                <w:rFonts w:hint="default"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采购总量（万只）</w:t>
            </w:r>
          </w:p>
        </w:tc>
        <w:tc>
          <w:tcPr>
            <w:tcW w:w="726" w:type="pct"/>
            <w:vAlign w:val="center"/>
          </w:tcPr>
          <w:p w14:paraId="09E96275">
            <w:pPr>
              <w:spacing w:line="380" w:lineRule="exact"/>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备注</w:t>
            </w:r>
          </w:p>
          <w:p w14:paraId="3186D49A">
            <w:pPr>
              <w:spacing w:line="380" w:lineRule="exact"/>
              <w:jc w:val="center"/>
              <w:rPr>
                <w:rFonts w:hint="default" w:ascii="仿宋" w:hAnsi="仿宋" w:eastAsia="仿宋" w:cs="仿宋"/>
                <w:sz w:val="18"/>
                <w:szCs w:val="18"/>
                <w:highlight w:val="none"/>
                <w:lang w:val="en-US" w:eastAsia="zh-CN"/>
              </w:rPr>
            </w:pPr>
          </w:p>
        </w:tc>
      </w:tr>
      <w:tr w14:paraId="2E07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981" w:type="pct"/>
            <w:gridSpan w:val="2"/>
            <w:tcBorders>
              <w:bottom w:val="single" w:color="auto" w:sz="4" w:space="0"/>
              <w:right w:val="single" w:color="auto" w:sz="4" w:space="0"/>
            </w:tcBorders>
            <w:vAlign w:val="center"/>
          </w:tcPr>
          <w:p w14:paraId="2A667344">
            <w:pPr>
              <w:keepNext w:val="0"/>
              <w:keepLines w:val="0"/>
              <w:widowControl/>
              <w:suppressLineNumbers w:val="0"/>
              <w:jc w:val="center"/>
              <w:textAlignment w:val="center"/>
              <w:rPr>
                <w:rFonts w:hint="default" w:ascii="仿宋" w:hAnsi="仿宋" w:eastAsia="仿宋" w:cs="仿宋"/>
                <w:sz w:val="21"/>
                <w:szCs w:val="21"/>
                <w:highlight w:val="none"/>
                <w:lang w:val="en-US" w:eastAsia="zh-CN"/>
              </w:rPr>
            </w:pPr>
            <w:r>
              <w:rPr>
                <w:rFonts w:hint="eastAsia"/>
                <w:sz w:val="21"/>
                <w:szCs w:val="21"/>
                <w:highlight w:val="none"/>
                <w:lang w:val="en-GB"/>
              </w:rPr>
              <w:t>丁腈胶塞</w:t>
            </w:r>
          </w:p>
        </w:tc>
        <w:tc>
          <w:tcPr>
            <w:tcW w:w="1059" w:type="pct"/>
            <w:tcBorders>
              <w:left w:val="single" w:color="auto" w:sz="4" w:space="0"/>
              <w:bottom w:val="single" w:color="auto" w:sz="4" w:space="0"/>
              <w:right w:val="single" w:color="auto" w:sz="4" w:space="0"/>
            </w:tcBorders>
            <w:vAlign w:val="center"/>
          </w:tcPr>
          <w:p w14:paraId="1AFB0388">
            <w:pPr>
              <w:keepNext w:val="0"/>
              <w:keepLines w:val="0"/>
              <w:widowControl/>
              <w:suppressLineNumbers w:val="0"/>
              <w:jc w:val="center"/>
              <w:textAlignment w:val="center"/>
              <w:rPr>
                <w:rFonts w:hint="default" w:ascii="仿宋" w:hAnsi="仿宋" w:eastAsia="仿宋" w:cs="仿宋"/>
                <w:sz w:val="21"/>
                <w:szCs w:val="21"/>
                <w:highlight w:val="none"/>
                <w:lang w:val="en-US" w:eastAsia="zh-CN"/>
              </w:rPr>
            </w:pPr>
            <w:r>
              <w:rPr>
                <w:highlight w:val="none"/>
                <w:lang w:val="en-US"/>
              </w:rPr>
              <w:t>Ø</w:t>
            </w:r>
            <w:r>
              <w:rPr>
                <w:rFonts w:hint="eastAsia"/>
                <w:highlight w:val="none"/>
                <w:lang w:val="en-US"/>
              </w:rPr>
              <w:t>2</w:t>
            </w:r>
            <w:r>
              <w:rPr>
                <w:rFonts w:hint="eastAsia"/>
                <w:highlight w:val="none"/>
                <w:lang w:val="en-US" w:eastAsia="zh-CN"/>
              </w:rPr>
              <w:t>0</w:t>
            </w:r>
          </w:p>
        </w:tc>
        <w:tc>
          <w:tcPr>
            <w:tcW w:w="708" w:type="pct"/>
            <w:tcBorders>
              <w:left w:val="single" w:color="auto" w:sz="4" w:space="0"/>
              <w:bottom w:val="single" w:color="auto" w:sz="4" w:space="0"/>
              <w:right w:val="single" w:color="auto" w:sz="4" w:space="0"/>
            </w:tcBorders>
            <w:vAlign w:val="center"/>
          </w:tcPr>
          <w:p w14:paraId="2591FC2E">
            <w:pPr>
              <w:keepNext w:val="0"/>
              <w:keepLines w:val="0"/>
              <w:widowControl/>
              <w:suppressLineNumbers w:val="0"/>
              <w:jc w:val="left"/>
              <w:textAlignment w:val="center"/>
              <w:rPr>
                <w:rFonts w:ascii="仿宋" w:hAnsi="仿宋" w:eastAsia="仿宋" w:cs="仿宋"/>
                <w:sz w:val="21"/>
                <w:szCs w:val="21"/>
                <w:highlight w:val="none"/>
              </w:rPr>
            </w:pPr>
          </w:p>
        </w:tc>
        <w:tc>
          <w:tcPr>
            <w:tcW w:w="708" w:type="pct"/>
            <w:tcBorders>
              <w:left w:val="single" w:color="auto" w:sz="4" w:space="0"/>
              <w:bottom w:val="single" w:color="auto" w:sz="4" w:space="0"/>
              <w:right w:val="single" w:color="auto" w:sz="4" w:space="0"/>
            </w:tcBorders>
            <w:vAlign w:val="center"/>
          </w:tcPr>
          <w:p w14:paraId="2C7FC1FB">
            <w:pPr>
              <w:keepNext w:val="0"/>
              <w:keepLines w:val="0"/>
              <w:widowControl/>
              <w:suppressLineNumbers w:val="0"/>
              <w:jc w:val="center"/>
              <w:textAlignment w:val="center"/>
              <w:rPr>
                <w:rFonts w:ascii="仿宋" w:hAnsi="仿宋" w:eastAsia="仿宋" w:cs="仿宋"/>
                <w:sz w:val="21"/>
                <w:szCs w:val="21"/>
                <w:highlight w:val="none"/>
              </w:rPr>
            </w:pPr>
          </w:p>
        </w:tc>
        <w:tc>
          <w:tcPr>
            <w:tcW w:w="815" w:type="pct"/>
            <w:tcBorders>
              <w:left w:val="single" w:color="auto" w:sz="4" w:space="0"/>
              <w:bottom w:val="single" w:color="auto" w:sz="4" w:space="0"/>
              <w:right w:val="single" w:color="auto" w:sz="4" w:space="0"/>
            </w:tcBorders>
            <w:shd w:val="clear" w:color="auto" w:fill="auto"/>
            <w:vAlign w:val="center"/>
          </w:tcPr>
          <w:p w14:paraId="3A31DFFC">
            <w:pPr>
              <w:keepNext w:val="0"/>
              <w:keepLines w:val="0"/>
              <w:widowControl/>
              <w:suppressLineNumbers w:val="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87</w:t>
            </w:r>
          </w:p>
        </w:tc>
        <w:tc>
          <w:tcPr>
            <w:tcW w:w="726" w:type="pct"/>
            <w:tcBorders>
              <w:left w:val="single" w:color="auto" w:sz="4" w:space="0"/>
              <w:bottom w:val="single" w:color="auto" w:sz="4" w:space="0"/>
            </w:tcBorders>
            <w:vAlign w:val="center"/>
          </w:tcPr>
          <w:p w14:paraId="2B7BE590">
            <w:pPr>
              <w:spacing w:line="380" w:lineRule="exact"/>
              <w:jc w:val="center"/>
              <w:rPr>
                <w:rFonts w:hint="default" w:ascii="仿宋" w:hAnsi="仿宋" w:eastAsia="仿宋" w:cs="仿宋"/>
                <w:sz w:val="21"/>
                <w:szCs w:val="21"/>
                <w:highlight w:val="none"/>
                <w:lang w:val="en-US" w:eastAsia="zh-CN"/>
              </w:rPr>
            </w:pPr>
          </w:p>
        </w:tc>
      </w:tr>
      <w:tr w14:paraId="3C77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14F09A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sz w:val="21"/>
                <w:szCs w:val="21"/>
                <w:highlight w:val="none"/>
                <w:lang w:val="en-GB"/>
              </w:rPr>
              <w:t>丁腈胶塞</w:t>
            </w:r>
          </w:p>
        </w:tc>
        <w:tc>
          <w:tcPr>
            <w:tcW w:w="1059" w:type="pct"/>
            <w:tcBorders>
              <w:left w:val="single" w:color="auto" w:sz="4" w:space="0"/>
              <w:bottom w:val="single" w:color="auto" w:sz="4" w:space="0"/>
              <w:right w:val="single" w:color="auto" w:sz="4" w:space="0"/>
            </w:tcBorders>
            <w:vAlign w:val="center"/>
          </w:tcPr>
          <w:p w14:paraId="536A78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lang w:val="en-US"/>
              </w:rPr>
              <w:t>Ø</w:t>
            </w:r>
            <w:r>
              <w:rPr>
                <w:rFonts w:hint="eastAsia"/>
                <w:lang w:val="en-US"/>
              </w:rPr>
              <w:t>28</w:t>
            </w:r>
          </w:p>
        </w:tc>
        <w:tc>
          <w:tcPr>
            <w:tcW w:w="708" w:type="pct"/>
            <w:tcBorders>
              <w:left w:val="single" w:color="auto" w:sz="4" w:space="0"/>
              <w:bottom w:val="single" w:color="auto" w:sz="4" w:space="0"/>
              <w:right w:val="single" w:color="auto" w:sz="4" w:space="0"/>
            </w:tcBorders>
            <w:vAlign w:val="center"/>
          </w:tcPr>
          <w:p w14:paraId="18BFBFBC">
            <w:pPr>
              <w:keepNext w:val="0"/>
              <w:keepLines w:val="0"/>
              <w:widowControl/>
              <w:suppressLineNumbers w:val="0"/>
              <w:jc w:val="left"/>
              <w:textAlignment w:val="center"/>
              <w:rPr>
                <w:rFonts w:ascii="仿宋" w:hAnsi="仿宋" w:eastAsia="仿宋" w:cs="仿宋"/>
                <w:sz w:val="21"/>
                <w:szCs w:val="21"/>
                <w:highlight w:val="none"/>
              </w:rPr>
            </w:pPr>
          </w:p>
        </w:tc>
        <w:tc>
          <w:tcPr>
            <w:tcW w:w="708" w:type="pct"/>
            <w:tcBorders>
              <w:left w:val="single" w:color="auto" w:sz="4" w:space="0"/>
              <w:bottom w:val="single" w:color="auto" w:sz="4" w:space="0"/>
              <w:right w:val="single" w:color="auto" w:sz="4" w:space="0"/>
            </w:tcBorders>
            <w:vAlign w:val="center"/>
          </w:tcPr>
          <w:p w14:paraId="56A08E9D">
            <w:pPr>
              <w:keepNext w:val="0"/>
              <w:keepLines w:val="0"/>
              <w:widowControl/>
              <w:suppressLineNumbers w:val="0"/>
              <w:jc w:val="center"/>
              <w:textAlignment w:val="center"/>
              <w:rPr>
                <w:rFonts w:ascii="仿宋" w:hAnsi="仿宋" w:eastAsia="仿宋" w:cs="仿宋"/>
                <w:sz w:val="21"/>
                <w:szCs w:val="21"/>
                <w:highlight w:val="none"/>
              </w:rPr>
            </w:pPr>
          </w:p>
        </w:tc>
        <w:tc>
          <w:tcPr>
            <w:tcW w:w="815" w:type="pct"/>
            <w:tcBorders>
              <w:left w:val="single" w:color="auto" w:sz="4" w:space="0"/>
              <w:bottom w:val="single" w:color="auto" w:sz="4" w:space="0"/>
              <w:right w:val="single" w:color="auto" w:sz="4" w:space="0"/>
            </w:tcBorders>
            <w:shd w:val="clear" w:color="auto" w:fill="auto"/>
            <w:vAlign w:val="center"/>
          </w:tcPr>
          <w:p w14:paraId="54BBCFC4">
            <w:pPr>
              <w:keepNext w:val="0"/>
              <w:keepLines w:val="0"/>
              <w:widowControl/>
              <w:suppressLineNumbers w:val="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178</w:t>
            </w:r>
          </w:p>
        </w:tc>
        <w:tc>
          <w:tcPr>
            <w:tcW w:w="726" w:type="pct"/>
            <w:tcBorders>
              <w:left w:val="single" w:color="auto" w:sz="4" w:space="0"/>
              <w:bottom w:val="single" w:color="auto" w:sz="4" w:space="0"/>
            </w:tcBorders>
            <w:vAlign w:val="center"/>
          </w:tcPr>
          <w:p w14:paraId="6B520539">
            <w:pPr>
              <w:spacing w:line="380" w:lineRule="exact"/>
              <w:jc w:val="center"/>
              <w:rPr>
                <w:rFonts w:hint="default" w:ascii="仿宋" w:hAnsi="仿宋" w:eastAsia="仿宋" w:cs="仿宋"/>
                <w:sz w:val="21"/>
                <w:szCs w:val="21"/>
                <w:highlight w:val="none"/>
                <w:lang w:val="en-US" w:eastAsia="zh-CN"/>
              </w:rPr>
            </w:pPr>
          </w:p>
        </w:tc>
      </w:tr>
      <w:tr w14:paraId="47BA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548A96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059" w:type="pct"/>
            <w:tcBorders>
              <w:left w:val="single" w:color="auto" w:sz="4" w:space="0"/>
              <w:bottom w:val="single" w:color="auto" w:sz="4" w:space="0"/>
              <w:right w:val="single" w:color="auto" w:sz="4" w:space="0"/>
            </w:tcBorders>
            <w:vAlign w:val="center"/>
          </w:tcPr>
          <w:p w14:paraId="5CC674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08" w:type="pct"/>
            <w:tcBorders>
              <w:left w:val="single" w:color="auto" w:sz="4" w:space="0"/>
              <w:bottom w:val="single" w:color="auto" w:sz="4" w:space="0"/>
              <w:right w:val="single" w:color="auto" w:sz="4" w:space="0"/>
            </w:tcBorders>
            <w:vAlign w:val="center"/>
          </w:tcPr>
          <w:p w14:paraId="730BD3E2">
            <w:pPr>
              <w:keepNext w:val="0"/>
              <w:keepLines w:val="0"/>
              <w:widowControl/>
              <w:suppressLineNumbers w:val="0"/>
              <w:jc w:val="left"/>
              <w:textAlignment w:val="center"/>
              <w:rPr>
                <w:rFonts w:ascii="仿宋" w:hAnsi="仿宋" w:eastAsia="仿宋" w:cs="仿宋"/>
                <w:sz w:val="18"/>
                <w:szCs w:val="18"/>
                <w:highlight w:val="none"/>
              </w:rPr>
            </w:pPr>
          </w:p>
        </w:tc>
        <w:tc>
          <w:tcPr>
            <w:tcW w:w="708" w:type="pct"/>
            <w:tcBorders>
              <w:left w:val="single" w:color="auto" w:sz="4" w:space="0"/>
              <w:bottom w:val="single" w:color="auto" w:sz="4" w:space="0"/>
              <w:right w:val="single" w:color="auto" w:sz="4" w:space="0"/>
            </w:tcBorders>
            <w:vAlign w:val="center"/>
          </w:tcPr>
          <w:p w14:paraId="7168AD16">
            <w:pPr>
              <w:keepNext w:val="0"/>
              <w:keepLines w:val="0"/>
              <w:widowControl/>
              <w:suppressLineNumbers w:val="0"/>
              <w:jc w:val="center"/>
              <w:textAlignment w:val="center"/>
              <w:rPr>
                <w:rFonts w:ascii="仿宋" w:hAnsi="仿宋" w:eastAsia="仿宋" w:cs="仿宋"/>
                <w:sz w:val="18"/>
                <w:szCs w:val="18"/>
                <w:highlight w:val="none"/>
              </w:rPr>
            </w:pPr>
          </w:p>
        </w:tc>
        <w:tc>
          <w:tcPr>
            <w:tcW w:w="815" w:type="pct"/>
            <w:tcBorders>
              <w:left w:val="single" w:color="auto" w:sz="4" w:space="0"/>
              <w:bottom w:val="single" w:color="auto" w:sz="4" w:space="0"/>
              <w:right w:val="single" w:color="auto" w:sz="4" w:space="0"/>
            </w:tcBorders>
            <w:shd w:val="clear" w:color="auto" w:fill="auto"/>
            <w:vAlign w:val="center"/>
          </w:tcPr>
          <w:p w14:paraId="2DFED1F0">
            <w:pPr>
              <w:keepNext w:val="0"/>
              <w:keepLines w:val="0"/>
              <w:widowControl/>
              <w:suppressLineNumbers w:val="0"/>
              <w:jc w:val="center"/>
              <w:textAlignment w:val="center"/>
              <w:rPr>
                <w:rFonts w:ascii="仿宋" w:hAnsi="仿宋" w:eastAsia="仿宋" w:cs="仿宋"/>
                <w:kern w:val="2"/>
                <w:sz w:val="18"/>
                <w:szCs w:val="18"/>
                <w:highlight w:val="none"/>
                <w:lang w:val="en-US" w:eastAsia="zh-CN" w:bidi="ar-SA"/>
              </w:rPr>
            </w:pPr>
          </w:p>
        </w:tc>
        <w:tc>
          <w:tcPr>
            <w:tcW w:w="726" w:type="pct"/>
            <w:tcBorders>
              <w:left w:val="single" w:color="auto" w:sz="4" w:space="0"/>
              <w:bottom w:val="single" w:color="auto" w:sz="4" w:space="0"/>
            </w:tcBorders>
            <w:vAlign w:val="center"/>
          </w:tcPr>
          <w:p w14:paraId="5F388C58">
            <w:pPr>
              <w:spacing w:line="380" w:lineRule="exact"/>
              <w:jc w:val="center"/>
              <w:rPr>
                <w:rFonts w:hint="default" w:ascii="仿宋" w:hAnsi="仿宋" w:eastAsia="仿宋" w:cs="仿宋"/>
                <w:sz w:val="18"/>
                <w:szCs w:val="18"/>
                <w:highlight w:val="none"/>
                <w:lang w:val="en-US" w:eastAsia="zh-CN"/>
              </w:rPr>
            </w:pPr>
          </w:p>
        </w:tc>
      </w:tr>
      <w:tr w14:paraId="1FBB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4F9DBE59">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4018" w:type="pct"/>
            <w:gridSpan w:val="5"/>
            <w:tcBorders>
              <w:left w:val="single" w:color="auto" w:sz="4" w:space="0"/>
              <w:bottom w:val="single" w:color="auto" w:sz="4" w:space="0"/>
            </w:tcBorders>
            <w:vAlign w:val="center"/>
          </w:tcPr>
          <w:p w14:paraId="2C2AC1C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440A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981" w:type="pct"/>
            <w:gridSpan w:val="2"/>
            <w:tcBorders>
              <w:bottom w:val="single" w:color="auto" w:sz="4" w:space="0"/>
              <w:right w:val="single" w:color="auto" w:sz="4" w:space="0"/>
            </w:tcBorders>
            <w:vAlign w:val="center"/>
          </w:tcPr>
          <w:p w14:paraId="7758CF4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4018" w:type="pct"/>
            <w:gridSpan w:val="5"/>
            <w:tcBorders>
              <w:left w:val="single" w:color="auto" w:sz="4" w:space="0"/>
              <w:bottom w:val="single" w:color="auto" w:sz="4" w:space="0"/>
            </w:tcBorders>
            <w:vAlign w:val="center"/>
          </w:tcPr>
          <w:p w14:paraId="3C763CEA">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1FB4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7" w:type="pct"/>
            <w:vAlign w:val="center"/>
          </w:tcPr>
          <w:p w14:paraId="302D0D17">
            <w:pPr>
              <w:pStyle w:val="20"/>
              <w:rPr>
                <w:rFonts w:hint="eastAsia" w:ascii="宋体" w:hAnsi="宋体" w:eastAsia="宋体" w:cs="Times New Roman"/>
                <w:szCs w:val="21"/>
                <w:highlight w:val="none"/>
              </w:rPr>
            </w:pPr>
          </w:p>
        </w:tc>
        <w:tc>
          <w:tcPr>
            <w:tcW w:w="4292" w:type="pct"/>
            <w:gridSpan w:val="6"/>
            <w:vAlign w:val="center"/>
          </w:tcPr>
          <w:p w14:paraId="2D031AD5">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725A5E3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1584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7" w:type="pct"/>
            <w:vAlign w:val="center"/>
          </w:tcPr>
          <w:p w14:paraId="6593966D">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292" w:type="pct"/>
            <w:gridSpan w:val="6"/>
            <w:vAlign w:val="center"/>
          </w:tcPr>
          <w:p w14:paraId="414D698C">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5007C38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39BACA0D">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供货期是指订单下达到商品运送指定地点的日期,包含物流货运时间</w:t>
            </w:r>
          </w:p>
          <w:p w14:paraId="411704DB">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color w:val="FF0000"/>
                <w:szCs w:val="21"/>
                <w:highlight w:val="none"/>
                <w:lang w:val="en-US" w:eastAsia="zh-CN"/>
              </w:rPr>
              <w:t>如符合用户需求的胶塞同一规格存在不同价格的不同型号，可分别报价，评标时取最高价</w:t>
            </w:r>
          </w:p>
        </w:tc>
      </w:tr>
    </w:tbl>
    <w:p w14:paraId="2A4A1714">
      <w:pPr>
        <w:pStyle w:val="25"/>
        <w:tabs>
          <w:tab w:val="left" w:pos="5580"/>
        </w:tabs>
        <w:spacing w:line="360" w:lineRule="auto"/>
        <w:ind w:left="1080" w:leftChars="257" w:hanging="540"/>
        <w:rPr>
          <w:rFonts w:hint="eastAsia" w:hAnsi="宋体"/>
          <w:szCs w:val="21"/>
          <w:highlight w:val="none"/>
        </w:rPr>
      </w:pPr>
    </w:p>
    <w:p w14:paraId="6D303819">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5FB5A7FF">
      <w:pPr>
        <w:pStyle w:val="25"/>
        <w:tabs>
          <w:tab w:val="left" w:pos="5580"/>
        </w:tabs>
        <w:spacing w:line="360" w:lineRule="auto"/>
        <w:ind w:left="1080" w:leftChars="257" w:hanging="540"/>
        <w:rPr>
          <w:rFonts w:hint="eastAsia" w:hAnsi="宋体"/>
          <w:szCs w:val="21"/>
          <w:highlight w:val="none"/>
          <w:u w:val="single"/>
        </w:rPr>
      </w:pPr>
    </w:p>
    <w:p w14:paraId="4C23445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76F24BD5">
      <w:pPr>
        <w:pStyle w:val="25"/>
        <w:tabs>
          <w:tab w:val="left" w:pos="5580"/>
        </w:tabs>
        <w:spacing w:line="360" w:lineRule="auto"/>
        <w:ind w:left="1080" w:leftChars="257" w:hanging="540"/>
        <w:rPr>
          <w:rFonts w:hint="eastAsia" w:hAnsi="宋体"/>
          <w:szCs w:val="21"/>
          <w:highlight w:val="none"/>
          <w:u w:val="single"/>
        </w:rPr>
      </w:pPr>
    </w:p>
    <w:p w14:paraId="62626C7F">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38CB2EA5">
      <w:pPr>
        <w:pStyle w:val="25"/>
        <w:tabs>
          <w:tab w:val="left" w:pos="5580"/>
        </w:tabs>
        <w:spacing w:line="360" w:lineRule="auto"/>
        <w:ind w:left="1080" w:leftChars="257" w:hanging="540"/>
        <w:rPr>
          <w:rFonts w:hint="eastAsia" w:hAnsi="宋体"/>
          <w:szCs w:val="21"/>
          <w:highlight w:val="none"/>
          <w:u w:val="single"/>
        </w:rPr>
      </w:pPr>
    </w:p>
    <w:p w14:paraId="063B4810">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p>
    <w:p w14:paraId="7D3EF801">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WKZB-2026-012</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付款方式：货物验收合格后开具增值税专用发票，四个月后付款，可接受50%银行承兑汇票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65D20DDE">
      <w:pPr>
        <w:pStyle w:val="25"/>
        <w:spacing w:line="360" w:lineRule="auto"/>
        <w:ind w:left="1080" w:leftChars="257" w:hanging="540"/>
        <w:rPr>
          <w:rFonts w:hint="eastAsia" w:hAnsi="宋体"/>
          <w:szCs w:val="21"/>
          <w:highlight w:val="none"/>
        </w:rPr>
      </w:pPr>
    </w:p>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216582817"/>
      <w:bookmarkStart w:id="70" w:name="_Toc109736073"/>
      <w:bookmarkStart w:id="71" w:name="_Toc415222528"/>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w:t>
      </w:r>
      <w:r>
        <w:rPr>
          <w:rFonts w:hint="eastAsia" w:hAnsi="宋体" w:cs="宋体"/>
          <w:szCs w:val="21"/>
          <w:highlight w:val="none"/>
          <w:lang w:val="en-US" w:eastAsia="zh-CN"/>
        </w:rPr>
        <w:t>四</w:t>
      </w:r>
      <w:r>
        <w:rPr>
          <w:rFonts w:hint="eastAsia" w:hAnsi="宋体" w:cs="宋体"/>
          <w:szCs w:val="21"/>
          <w:highlight w:val="none"/>
        </w:rPr>
        <w:t>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对照第四章要求填写，对符合的填写响应，不符合的说明“正偏离”或“负偏离”，特别提醒：本响应表不可为空</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Toc520356224"/>
      <w:bookmarkStart w:id="74" w:name="_Toc480942355"/>
      <w:bookmarkStart w:id="75" w:name="_Ref467988543"/>
      <w:bookmarkStart w:id="76" w:name="_Toc415222530"/>
      <w:bookmarkStart w:id="77" w:name="_Toc216582819"/>
      <w:bookmarkStart w:id="78" w:name="_Toc109736074"/>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274065"/>
      <w:bookmarkEnd w:id="82"/>
      <w:bookmarkStart w:id="83" w:name="_Hlt520273973"/>
      <w:bookmarkEnd w:id="83"/>
      <w:bookmarkStart w:id="84" w:name="_Hlt520343392"/>
      <w:bookmarkEnd w:id="84"/>
      <w:bookmarkStart w:id="85" w:name="_Hlt520274407"/>
      <w:bookmarkEnd w:id="85"/>
      <w:bookmarkStart w:id="86" w:name="_Hlt520350918"/>
      <w:bookmarkEnd w:id="86"/>
      <w:bookmarkStart w:id="87" w:name="_Hlt520350957"/>
      <w:bookmarkEnd w:id="87"/>
      <w:bookmarkStart w:id="88" w:name="_Hlt520271212"/>
      <w:bookmarkEnd w:id="88"/>
      <w:bookmarkStart w:id="89" w:name="_Hlt520274393"/>
      <w:bookmarkEnd w:id="89"/>
      <w:bookmarkStart w:id="90" w:name="_Hlt520274121"/>
      <w:bookmarkEnd w:id="90"/>
      <w:bookmarkStart w:id="91" w:name="_Hlt520273711"/>
      <w:bookmarkEnd w:id="91"/>
      <w:bookmarkStart w:id="92" w:name="_Hlt520343000"/>
      <w:bookmarkEnd w:id="92"/>
      <w:bookmarkStart w:id="93" w:name="_Ref467990101"/>
      <w:bookmarkStart w:id="94" w:name="_Toc520125062"/>
      <w:bookmarkStart w:id="95" w:name="_Toc480942357"/>
      <w:bookmarkStart w:id="96" w:name="_Ref467990058"/>
      <w:bookmarkStart w:id="97" w:name="_Ref467990100"/>
      <w:bookmarkStart w:id="98" w:name="_Ref467990064"/>
      <w:bookmarkStart w:id="99" w:name="_Toc480942358"/>
      <w:bookmarkStart w:id="100" w:name="_Ref467988485"/>
      <w:bookmarkStart w:id="101" w:name="_Toc520356228"/>
      <w:bookmarkStart w:id="102" w:name="_Ref467988471"/>
      <w:bookmarkStart w:id="103" w:name="_Ref467988479"/>
      <w:bookmarkStart w:id="104" w:name="_Toc520125061"/>
      <w:bookmarkStart w:id="105" w:name="_Toc520356229"/>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0CDDD3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如上一年度报告</w:t>
      </w:r>
      <w:r>
        <w:rPr>
          <w:rFonts w:hint="eastAsia" w:ascii="宋体" w:hAnsi="宋体"/>
          <w:szCs w:val="21"/>
          <w:highlight w:val="none"/>
        </w:rPr>
        <w:t>会计师事务所</w:t>
      </w:r>
      <w:r>
        <w:rPr>
          <w:rFonts w:hint="eastAsia" w:ascii="宋体" w:hAnsi="宋体"/>
          <w:szCs w:val="21"/>
          <w:highlight w:val="none"/>
          <w:lang w:val="en-US" w:eastAsia="zh-CN"/>
        </w:rPr>
        <w:t>尚未出具，可出具公司盖章的财务证明，并承诺数据真实。</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9175639"/>
      <w:bookmarkStart w:id="118" w:name="_Toc216582826"/>
      <w:bookmarkStart w:id="119" w:name="_Toc218935355"/>
      <w:bookmarkStart w:id="120" w:name="_Toc220229434"/>
      <w:bookmarkStart w:id="121" w:name="_Toc10973607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认证证书、质量检测报告等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根据投标人履行能力（根据提供的供应商生产能力、行业资质文件等评价），最高得5分，第二名得4分，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最低1分</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6400">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产品质量管理情况及质保承诺，最优得10分，第二得8分，依此类推，</w:t>
            </w:r>
            <w:r>
              <w:rPr>
                <w:rFonts w:hint="eastAsia" w:ascii="微软雅黑" w:hAnsi="微软雅黑" w:eastAsia="微软雅黑" w:cs="微软雅黑"/>
                <w:i w:val="0"/>
                <w:iCs w:val="0"/>
                <w:color w:val="000000"/>
                <w:sz w:val="21"/>
                <w:szCs w:val="21"/>
                <w:highlight w:val="none"/>
                <w:u w:val="none"/>
                <w:lang w:val="en-US" w:eastAsia="zh-CN"/>
              </w:rPr>
              <w:t>最低2分</w:t>
            </w:r>
            <w:r>
              <w:rPr>
                <w:rFonts w:hint="eastAsia" w:ascii="微软雅黑" w:hAnsi="微软雅黑" w:eastAsia="微软雅黑" w:cs="微软雅黑"/>
                <w:i w:val="0"/>
                <w:iCs w:val="0"/>
                <w:color w:val="000000"/>
                <w:kern w:val="0"/>
                <w:sz w:val="21"/>
                <w:szCs w:val="21"/>
                <w:highlight w:val="none"/>
                <w:u w:val="none"/>
                <w:lang w:val="en-US" w:eastAsia="zh-CN" w:bidi="ar"/>
              </w:rPr>
              <w:t>。</w:t>
            </w:r>
          </w:p>
          <w:p w14:paraId="6C74DA33">
            <w:pPr>
              <w:keepNext w:val="0"/>
              <w:keepLines w:val="0"/>
              <w:widowControl/>
              <w:suppressLineNumbers w:val="0"/>
              <w:jc w:val="both"/>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未提供质量管理情况及质保承诺不得分。</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p w14:paraId="1CC785F6">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未提供本项不得分。</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08B3489C">
      <w:pPr>
        <w:keepNext/>
        <w:numPr>
          <w:ilvl w:val="0"/>
          <w:numId w:val="11"/>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128" w:name="_Toc18725"/>
      <w:bookmarkStart w:id="129" w:name="_Toc1561"/>
      <w:bookmarkStart w:id="130" w:name="_Toc61418267"/>
      <w:bookmarkStart w:id="131" w:name="_Toc188181412"/>
      <w:bookmarkStart w:id="132" w:name="_Toc512327974"/>
      <w:r>
        <w:rPr>
          <w:rFonts w:hint="eastAsia" w:ascii="Times New Roman" w:hAnsi="Times New Roman" w:eastAsia="宋体" w:cs="Times New Roman"/>
          <w:b/>
          <w:caps/>
          <w:kern w:val="28"/>
          <w:sz w:val="30"/>
          <w:lang w:val="fr-FR" w:eastAsia="zh-CN" w:bidi="ar-SA"/>
        </w:rPr>
        <w:t>目的</w:t>
      </w:r>
      <w:bookmarkEnd w:id="128"/>
      <w:bookmarkEnd w:id="129"/>
    </w:p>
    <w:bookmarkEnd w:id="130"/>
    <w:bookmarkEnd w:id="131"/>
    <w:p w14:paraId="06E34661">
      <w:pPr>
        <w:widowControl/>
        <w:spacing w:before="156" w:beforeLines="50"/>
        <w:jc w:val="left"/>
        <w:rPr>
          <w:rFonts w:hint="eastAsia" w:ascii="宋体" w:hAnsi="宋体" w:eastAsia="宋体" w:cs="Times New Roman"/>
          <w:kern w:val="0"/>
          <w:sz w:val="20"/>
          <w:szCs w:val="20"/>
          <w:lang w:val="fr-FR"/>
        </w:rPr>
      </w:pPr>
      <w:bookmarkStart w:id="133" w:name="_Hlk528847756"/>
      <w:bookmarkStart w:id="134"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我公司生物制品成品包装用胶塞</w:t>
      </w:r>
      <w:r>
        <w:rPr>
          <w:rFonts w:ascii="宋体" w:hAnsi="宋体" w:eastAsia="宋体" w:cs="Times New Roman"/>
          <w:kern w:val="0"/>
          <w:sz w:val="20"/>
          <w:szCs w:val="20"/>
          <w:lang w:val="fr-FR"/>
        </w:rPr>
        <w:t>的需</w:t>
      </w:r>
      <w:r>
        <w:rPr>
          <w:rFonts w:hint="eastAsia" w:ascii="宋体" w:hAnsi="宋体" w:eastAsia="宋体" w:cs="Times New Roman"/>
          <w:kern w:val="0"/>
          <w:sz w:val="20"/>
          <w:szCs w:val="20"/>
          <w:lang w:val="en-US"/>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硬度</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针刺落屑</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穿刺力</w:t>
      </w:r>
      <w:r>
        <w:rPr>
          <w:rFonts w:ascii="宋体" w:hAnsi="宋体" w:eastAsia="宋体" w:cs="Times New Roman"/>
          <w:kern w:val="0"/>
          <w:sz w:val="20"/>
          <w:szCs w:val="20"/>
          <w:lang w:val="fr-FR"/>
        </w:rPr>
        <w:t>、</w:t>
      </w:r>
      <w:bookmarkStart w:id="135" w:name="_Toc19107"/>
      <w:bookmarkStart w:id="136" w:name="_Toc18726"/>
      <w:bookmarkStart w:id="137" w:name="_Toc11643"/>
      <w:bookmarkStart w:id="138" w:name="_Toc1994"/>
      <w:r>
        <w:rPr>
          <w:rFonts w:hint="eastAsia" w:ascii="Times New Roman" w:hAnsi="Times New Roman" w:eastAsia="宋体" w:cs="Times New Roman"/>
          <w:kern w:val="0"/>
          <w:sz w:val="20"/>
          <w:szCs w:val="20"/>
          <w:lang w:val="en-GB"/>
        </w:rPr>
        <w:t>自密封性</w:t>
      </w:r>
      <w:bookmarkEnd w:id="135"/>
      <w:bookmarkEnd w:id="136"/>
      <w:bookmarkEnd w:id="137"/>
      <w:bookmarkEnd w:id="138"/>
      <w:r>
        <w:rPr>
          <w:rFonts w:ascii="宋体" w:hAnsi="宋体" w:eastAsia="宋体" w:cs="Times New Roman"/>
          <w:kern w:val="0"/>
          <w:sz w:val="20"/>
          <w:szCs w:val="20"/>
          <w:lang w:val="fr-FR"/>
        </w:rPr>
        <w:t>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133"/>
    <w:p w14:paraId="2D0D3411">
      <w:pPr>
        <w:keepNext/>
        <w:numPr>
          <w:ilvl w:val="0"/>
          <w:numId w:val="11"/>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139" w:name="_Toc716"/>
      <w:r>
        <w:rPr>
          <w:rFonts w:hint="eastAsia" w:ascii="Times New Roman" w:hAnsi="Times New Roman" w:eastAsia="宋体" w:cs="Times New Roman"/>
          <w:b/>
          <w:caps/>
          <w:kern w:val="28"/>
          <w:sz w:val="30"/>
          <w:lang w:val="en-US" w:eastAsia="zh-CN" w:bidi="ar-SA"/>
        </w:rPr>
        <w:t>范围</w:t>
      </w:r>
      <w:bookmarkEnd w:id="134"/>
      <w:bookmarkEnd w:id="139"/>
    </w:p>
    <w:p w14:paraId="3F64695B">
      <w:pPr>
        <w:widowControl/>
        <w:jc w:val="left"/>
        <w:rPr>
          <w:rFonts w:hint="eastAsia" w:ascii="Times New Roman" w:hAnsi="Times New Roman" w:eastAsia="宋体" w:cs="Times New Roman"/>
          <w:kern w:val="0"/>
          <w:sz w:val="20"/>
          <w:szCs w:val="20"/>
          <w:lang w:val="fr-FR"/>
        </w:rPr>
      </w:pPr>
      <w:bookmarkStart w:id="140" w:name="_Hlk528847449"/>
      <w:r>
        <w:rPr>
          <w:rFonts w:hint="eastAsia" w:ascii="Times New Roman" w:hAnsi="Times New Roman" w:eastAsia="宋体" w:cs="Times New Roman"/>
          <w:kern w:val="0"/>
          <w:sz w:val="20"/>
          <w:szCs w:val="20"/>
          <w:lang w:val="en-US"/>
        </w:rPr>
        <w:t>用于规定</w:t>
      </w:r>
      <w:r>
        <w:rPr>
          <w:rFonts w:hint="eastAsia" w:ascii="宋体" w:hAnsi="宋体" w:eastAsia="宋体" w:cs="Times New Roman"/>
          <w:kern w:val="0"/>
          <w:sz w:val="20"/>
          <w:szCs w:val="20"/>
          <w:lang w:val="en-US"/>
        </w:rPr>
        <w:t>我公司生物制品成品包装用所有胶塞的</w:t>
      </w:r>
      <w:r>
        <w:rPr>
          <w:rFonts w:hint="eastAsia" w:ascii="Times New Roman" w:hAnsi="Times New Roman" w:eastAsia="宋体" w:cs="Times New Roman"/>
          <w:kern w:val="0"/>
          <w:sz w:val="20"/>
          <w:szCs w:val="20"/>
          <w:lang w:val="en-US"/>
        </w:rPr>
        <w:t>质量标准</w:t>
      </w:r>
      <w:r>
        <w:rPr>
          <w:rFonts w:hint="eastAsia" w:ascii="Times New Roman" w:hAnsi="Times New Roman" w:eastAsia="宋体" w:cs="Times New Roman"/>
          <w:kern w:val="0"/>
          <w:sz w:val="20"/>
          <w:szCs w:val="20"/>
          <w:lang w:val="fr-FR"/>
        </w:rPr>
        <w:t>。</w:t>
      </w:r>
    </w:p>
    <w:bookmarkEnd w:id="140"/>
    <w:p w14:paraId="6C74BFE6">
      <w:pPr>
        <w:keepNext/>
        <w:numPr>
          <w:ilvl w:val="0"/>
          <w:numId w:val="11"/>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141" w:name="_Toc26852"/>
      <w:bookmarkStart w:id="142" w:name="_Toc16805"/>
      <w:r>
        <w:rPr>
          <w:rFonts w:hint="eastAsia" w:ascii="Times New Roman" w:hAnsi="Times New Roman" w:eastAsia="宋体" w:cs="Times New Roman"/>
          <w:b/>
          <w:caps/>
          <w:kern w:val="28"/>
          <w:sz w:val="30"/>
          <w:lang w:val="fr-FR" w:eastAsia="zh-CN" w:bidi="ar-SA"/>
        </w:rPr>
        <w:t>定义和缩略语</w:t>
      </w:r>
      <w:bookmarkEnd w:id="141"/>
      <w:bookmarkEnd w:id="142"/>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38FF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14:paraId="6A03C529">
            <w:pPr>
              <w:widowControl/>
              <w:ind w:firstLine="160" w:firstLineChars="67"/>
              <w:jc w:val="center"/>
              <w:rPr>
                <w:rFonts w:ascii="宋体" w:hAnsi="宋体" w:eastAsia="宋体" w:cs="Times New Roman"/>
                <w:kern w:val="0"/>
                <w:sz w:val="24"/>
                <w:szCs w:val="24"/>
                <w:lang w:val="fr-FR"/>
              </w:rPr>
            </w:pPr>
            <w:bookmarkStart w:id="143"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14:paraId="0C375EEC">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14:paraId="54D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D435894">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14:paraId="79945FC9">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14:paraId="5490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2942F08">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FAT</w:t>
            </w:r>
          </w:p>
        </w:tc>
        <w:tc>
          <w:tcPr>
            <w:tcW w:w="7371" w:type="dxa"/>
            <w:noWrap w:val="0"/>
            <w:vAlign w:val="center"/>
          </w:tcPr>
          <w:p w14:paraId="795365C7">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Factory Acceptance Test 设备出厂测试</w:t>
            </w:r>
          </w:p>
        </w:tc>
      </w:tr>
      <w:tr w14:paraId="79E1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B2C9350">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14:paraId="71BBE2BE">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14:paraId="6E3C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E2B7177">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FRS</w:t>
            </w:r>
          </w:p>
        </w:tc>
        <w:tc>
          <w:tcPr>
            <w:tcW w:w="7371" w:type="dxa"/>
            <w:noWrap w:val="0"/>
            <w:vAlign w:val="center"/>
          </w:tcPr>
          <w:p w14:paraId="746D8A4A">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 Requirement Specification 功能需求说明书</w:t>
            </w:r>
          </w:p>
        </w:tc>
      </w:tr>
      <w:tr w14:paraId="25FB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4E600895">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FDS</w:t>
            </w:r>
          </w:p>
        </w:tc>
        <w:tc>
          <w:tcPr>
            <w:tcW w:w="7371" w:type="dxa"/>
            <w:noWrap w:val="0"/>
            <w:vAlign w:val="center"/>
          </w:tcPr>
          <w:p w14:paraId="087A6A9C">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Functional design specifications 功能设计说明书</w:t>
            </w:r>
          </w:p>
        </w:tc>
      </w:tr>
      <w:tr w14:paraId="5F92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376136B1">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14:paraId="72CDD41C">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14:paraId="04B2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1B7C1252">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14:paraId="792D0853">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14:paraId="0E07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70DC807">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14:paraId="5712122E">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143"/>
    </w:tbl>
    <w:p w14:paraId="73021468">
      <w:pPr>
        <w:keepNext/>
        <w:numPr>
          <w:ilvl w:val="0"/>
          <w:numId w:val="11"/>
        </w:numPr>
        <w:spacing w:before="240" w:beforeLines="0" w:after="60" w:afterLines="0"/>
        <w:outlineLvl w:val="0"/>
        <w:rPr>
          <w:rFonts w:ascii="Times New Roman" w:hAnsi="Times New Roman" w:eastAsia="宋体" w:cs="Times New Roman"/>
          <w:b/>
          <w:caps/>
          <w:kern w:val="28"/>
          <w:sz w:val="30"/>
          <w:lang w:val="en-US" w:eastAsia="zh-CN" w:bidi="ar-SA"/>
        </w:rPr>
      </w:pPr>
      <w:bookmarkStart w:id="144" w:name="_Toc20878"/>
      <w:bookmarkStart w:id="145" w:name="_Toc14542"/>
      <w:r>
        <w:rPr>
          <w:rFonts w:hint="eastAsia" w:ascii="Times New Roman" w:hAnsi="Times New Roman" w:eastAsia="宋体" w:cs="Times New Roman"/>
          <w:b/>
          <w:caps/>
          <w:kern w:val="28"/>
          <w:sz w:val="30"/>
          <w:lang w:val="en-US" w:eastAsia="zh-CN" w:bidi="ar-SA"/>
        </w:rPr>
        <w:t>技术规格</w:t>
      </w:r>
      <w:bookmarkEnd w:id="144"/>
      <w:bookmarkEnd w:id="145"/>
    </w:p>
    <w:p w14:paraId="0DE5E300">
      <w:pPr>
        <w:widowControl/>
        <w:jc w:val="left"/>
        <w:rPr>
          <w:rFonts w:hint="eastAsia" w:ascii="宋体" w:hAnsi="宋体" w:eastAsia="宋体" w:cs="宋体"/>
          <w:color w:val="000000"/>
          <w:kern w:val="2"/>
          <w:sz w:val="20"/>
          <w:szCs w:val="20"/>
          <w:lang w:val="en-US"/>
        </w:rPr>
      </w:pPr>
      <w:r>
        <w:rPr>
          <w:rFonts w:hint="eastAsia" w:ascii="Times New Roman" w:hAnsi="Times New Roman" w:eastAsia="宋体" w:cs="Times New Roman"/>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617B4CEE">
      <w:pPr>
        <w:keepNext/>
        <w:numPr>
          <w:ilvl w:val="1"/>
          <w:numId w:val="11"/>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14:paraId="7536D5E0">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标准依据《中华人民共和国兽药典》2020年版三部、</w:t>
      </w:r>
      <w:r>
        <w:rPr>
          <w:rFonts w:hint="eastAsia" w:ascii="宋体" w:hAnsi="宋体" w:eastAsia="宋体" w:cs="Times New Roman"/>
          <w:color w:val="000000"/>
          <w:kern w:val="0"/>
          <w:sz w:val="20"/>
          <w:szCs w:val="20"/>
          <w:lang w:val="en-US"/>
        </w:rPr>
        <w:t>《兽药生产质量管理规范》、《兽药管理条例》、国药集团扬州威克生物工程有限公司</w:t>
      </w:r>
      <w:r>
        <w:rPr>
          <w:rFonts w:hint="eastAsia" w:ascii="Times New Roman" w:hAnsi="Times New Roman" w:eastAsia="宋体" w:cs="Times New Roman"/>
          <w:kern w:val="0"/>
          <w:sz w:val="22"/>
          <w:szCs w:val="20"/>
          <w:lang w:val="fr-FR"/>
        </w:rPr>
        <w:t>QA/ST/0</w:t>
      </w:r>
      <w:r>
        <w:rPr>
          <w:rFonts w:hint="eastAsia" w:ascii="Times New Roman" w:hAnsi="Times New Roman" w:eastAsia="宋体" w:cs="Times New Roman"/>
          <w:kern w:val="0"/>
          <w:sz w:val="22"/>
          <w:szCs w:val="20"/>
          <w:lang w:val="en-US"/>
        </w:rPr>
        <w:t>13</w:t>
      </w:r>
      <w:r>
        <w:rPr>
          <w:rFonts w:hint="eastAsia" w:ascii="宋体" w:hAnsi="宋体" w:eastAsia="宋体" w:cs="Times New Roman"/>
          <w:color w:val="000000"/>
          <w:kern w:val="0"/>
          <w:sz w:val="20"/>
          <w:szCs w:val="20"/>
          <w:lang w:val="en-US"/>
        </w:rPr>
        <w:t>胶塞质量标准</w:t>
      </w:r>
      <w:r>
        <w:rPr>
          <w:rFonts w:hint="eastAsia" w:ascii="Times New Roman" w:hAnsi="Times New Roman" w:eastAsia="宋体" w:cs="Times New Roman"/>
          <w:kern w:val="0"/>
          <w:sz w:val="20"/>
          <w:szCs w:val="20"/>
          <w:lang w:val="en-US"/>
        </w:rPr>
        <w:t>。</w:t>
      </w:r>
    </w:p>
    <w:p w14:paraId="55A05B97">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质量标准</w:t>
      </w:r>
    </w:p>
    <w:p w14:paraId="3CBFE540">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材质</w:t>
      </w:r>
    </w:p>
    <w:p w14:paraId="5A57A0D7">
      <w:pPr>
        <w:widowControl/>
        <w:numPr>
          <w:ilvl w:val="0"/>
          <w:numId w:val="12"/>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丁基胶塞：异丁烯和少量异戊二烯</w:t>
      </w:r>
    </w:p>
    <w:p w14:paraId="69ACE83F">
      <w:pPr>
        <w:widowControl/>
        <w:numPr>
          <w:ilvl w:val="0"/>
          <w:numId w:val="12"/>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丁腈胶塞：丁二烯和丙烯腈</w:t>
      </w:r>
    </w:p>
    <w:p w14:paraId="430C7C69">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规格</w:t>
      </w:r>
      <w:r>
        <w:rPr>
          <w:rFonts w:hint="eastAsia" w:ascii="Times New Roman" w:hAnsi="Times New Roman" w:eastAsia="宋体" w:cs="Times New Roman"/>
          <w:i/>
          <w:sz w:val="24"/>
          <w:lang w:val="fr-FR" w:eastAsia="zh-CN" w:bidi="ar-SA"/>
        </w:rPr>
        <w:t xml:space="preserve">  </w:t>
      </w:r>
    </w:p>
    <w:p w14:paraId="69F8DB58">
      <w:pPr>
        <w:widowControl/>
        <w:numPr>
          <w:ilvl w:val="0"/>
          <w:numId w:val="13"/>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活疫苗用免洗丁基胶塞：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14:paraId="7E1C4979">
      <w:pPr>
        <w:widowControl/>
        <w:numPr>
          <w:ilvl w:val="0"/>
          <w:numId w:val="13"/>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14:paraId="5E44FEFB">
      <w:pPr>
        <w:widowControl/>
        <w:numPr>
          <w:ilvl w:val="0"/>
          <w:numId w:val="13"/>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28mm</w:t>
      </w:r>
    </w:p>
    <w:p w14:paraId="1E6D2F42">
      <w:pPr>
        <w:keepNext/>
        <w:numPr>
          <w:ilvl w:val="2"/>
          <w:numId w:val="11"/>
        </w:numPr>
        <w:spacing w:before="240" w:beforeLines="0" w:after="60" w:afterLines="0"/>
        <w:outlineLvl w:val="2"/>
        <w:rPr>
          <w:rFonts w:hint="eastAsia" w:ascii="Times New Roman" w:hAnsi="Times New Roman" w:eastAsia="宋体" w:cs="Times New Roman"/>
          <w:i/>
          <w:sz w:val="24"/>
          <w:lang w:val="en-US" w:eastAsia="zh-CN" w:bidi="ar-SA"/>
        </w:rPr>
      </w:pPr>
      <w:bookmarkStart w:id="146" w:name="_Toc11938"/>
      <w:bookmarkStart w:id="147" w:name="_Toc959"/>
      <w:bookmarkStart w:id="148" w:name="_Toc18489"/>
      <w:bookmarkStart w:id="149" w:name="_Toc26020"/>
      <w:r>
        <w:rPr>
          <w:rFonts w:hint="eastAsia" w:ascii="Times New Roman" w:hAnsi="Times New Roman" w:eastAsia="宋体" w:cs="Times New Roman"/>
          <w:i/>
          <w:sz w:val="24"/>
          <w:lang w:val="en-US" w:eastAsia="zh-CN" w:bidi="ar-SA"/>
        </w:rPr>
        <w:t>几何尺寸</w:t>
      </w:r>
    </w:p>
    <w:p w14:paraId="2149D114">
      <w:pPr>
        <w:keepNext/>
        <w:numPr>
          <w:ilvl w:val="3"/>
          <w:numId w:val="11"/>
        </w:numPr>
        <w:spacing w:before="240" w:beforeLines="0" w:after="60" w:afterLines="0"/>
        <w:outlineLvl w:val="3"/>
        <w:rPr>
          <w:rFonts w:hint="eastAsia" w:ascii="Times New Roman" w:hAnsi="Times New Roman" w:eastAsia="宋体" w:cs="Times New Roman"/>
          <w:i/>
          <w:sz w:val="21"/>
          <w:lang w:val="en-US" w:eastAsia="zh-CN" w:bidi="ar-SA"/>
        </w:rPr>
      </w:pPr>
      <w:r>
        <w:rPr>
          <w:rFonts w:hint="eastAsia" w:ascii="Times New Roman" w:hAnsi="Times New Roman" w:eastAsia="宋体" w:cs="Times New Roman"/>
          <w:i/>
          <w:sz w:val="21"/>
          <w:lang w:val="en-GB" w:eastAsia="zh-CN" w:bidi="ar-SA"/>
        </w:rPr>
        <w:t>活疫苗用</w:t>
      </w:r>
      <w:r>
        <w:rPr>
          <w:rFonts w:hint="eastAsia" w:ascii="Times New Roman" w:hAnsi="Times New Roman" w:eastAsia="宋体" w:cs="Times New Roman"/>
          <w:i/>
          <w:sz w:val="21"/>
          <w:lang w:val="en-US" w:eastAsia="zh-CN" w:bidi="ar-SA"/>
        </w:rPr>
        <w:t>免洗丁基胶塞（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20）</w:t>
      </w:r>
      <w:bookmarkEnd w:id="146"/>
      <w:bookmarkEnd w:id="147"/>
      <w:bookmarkEnd w:id="148"/>
      <w:bookmarkEnd w:id="149"/>
    </w:p>
    <w:p w14:paraId="262BCF4D">
      <w:pPr>
        <w:widowControl/>
        <w:numPr>
          <w:ilvl w:val="0"/>
          <w:numId w:val="14"/>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*冠部直径：18.80mm±0.20mm</w:t>
      </w:r>
    </w:p>
    <w:p w14:paraId="6A33C154">
      <w:pPr>
        <w:widowControl/>
        <w:numPr>
          <w:ilvl w:val="0"/>
          <w:numId w:val="14"/>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*冠部厚度：3.50mm±0.15mm</w:t>
      </w:r>
    </w:p>
    <w:p w14:paraId="2689D9EE">
      <w:pPr>
        <w:widowControl/>
        <w:numPr>
          <w:ilvl w:val="0"/>
          <w:numId w:val="14"/>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颈直径：13.40mm±0.10mm</w:t>
      </w:r>
    </w:p>
    <w:p w14:paraId="2F4F9292">
      <w:pPr>
        <w:widowControl/>
        <w:numPr>
          <w:ilvl w:val="0"/>
          <w:numId w:val="14"/>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度：14.80mm±0.30mm</w:t>
      </w:r>
    </w:p>
    <w:p w14:paraId="7509374A">
      <w:pPr>
        <w:keepNext/>
        <w:numPr>
          <w:ilvl w:val="3"/>
          <w:numId w:val="11"/>
        </w:numPr>
        <w:spacing w:before="240" w:beforeLines="0" w:after="60" w:afterLines="0"/>
        <w:outlineLvl w:val="3"/>
        <w:rPr>
          <w:rFonts w:hint="eastAsia" w:ascii="Times New Roman" w:hAnsi="Times New Roman" w:eastAsia="宋体" w:cs="Times New Roman"/>
          <w:i/>
          <w:sz w:val="21"/>
          <w:highlight w:val="none"/>
          <w:lang w:val="en-GB" w:eastAsia="zh-CN" w:bidi="ar-SA"/>
        </w:rPr>
      </w:pPr>
      <w:bookmarkStart w:id="150" w:name="_Toc9035"/>
      <w:bookmarkStart w:id="151" w:name="_Toc16489"/>
      <w:bookmarkStart w:id="152" w:name="_Toc31964"/>
      <w:bookmarkStart w:id="153" w:name="_Toc23896"/>
      <w:r>
        <w:rPr>
          <w:rFonts w:hint="eastAsia" w:ascii="Times New Roman" w:hAnsi="Times New Roman" w:eastAsia="宋体" w:cs="Times New Roman"/>
          <w:i/>
          <w:sz w:val="21"/>
          <w:highlight w:val="none"/>
          <w:lang w:val="en-GB" w:eastAsia="zh-CN" w:bidi="ar-SA"/>
        </w:rPr>
        <w:t>灭活疫苗用丁腈胶塞（</w:t>
      </w:r>
      <w:r>
        <w:rPr>
          <w:rFonts w:ascii="Times New Roman" w:hAnsi="Times New Roman" w:eastAsia="宋体" w:cs="Times New Roman"/>
          <w:i/>
          <w:sz w:val="21"/>
          <w:highlight w:val="none"/>
          <w:lang w:val="en-US" w:eastAsia="zh-CN" w:bidi="ar-SA"/>
        </w:rPr>
        <w:t>Ø</w:t>
      </w:r>
      <w:r>
        <w:rPr>
          <w:rFonts w:hint="eastAsia" w:ascii="Times New Roman" w:hAnsi="Times New Roman" w:eastAsia="宋体" w:cs="Times New Roman"/>
          <w:i/>
          <w:sz w:val="21"/>
          <w:highlight w:val="none"/>
          <w:lang w:val="en-US" w:eastAsia="zh-CN" w:bidi="ar-SA"/>
        </w:rPr>
        <w:t>20）</w:t>
      </w:r>
    </w:p>
    <w:p w14:paraId="671F7839">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*冠部直径：19.50mm±0.20mm</w:t>
      </w:r>
    </w:p>
    <w:p w14:paraId="71E37CB0">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US"/>
        </w:rPr>
        <w:t>冠部厚度：2.90mm±0.25mm</w:t>
      </w:r>
    </w:p>
    <w:p w14:paraId="12389B2F">
      <w:pPr>
        <w:widowControl/>
        <w:numPr>
          <w:ilvl w:val="0"/>
          <w:numId w:val="15"/>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颈直径：13.00mm±0.10mm</w:t>
      </w:r>
    </w:p>
    <w:p w14:paraId="00B7A068">
      <w:pPr>
        <w:widowControl/>
        <w:numPr>
          <w:ilvl w:val="0"/>
          <w:numId w:val="15"/>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GB"/>
        </w:rPr>
        <w:t>总  高  度：9.60mm±0.30mm</w:t>
      </w:r>
    </w:p>
    <w:p w14:paraId="6DBC6A19">
      <w:pPr>
        <w:widowControl/>
        <w:numPr>
          <w:ilvl w:val="0"/>
          <w:numId w:val="0"/>
        </w:numPr>
        <w:ind w:leftChars="0"/>
        <w:jc w:val="left"/>
        <w:rPr>
          <w:rFonts w:hint="eastAsia" w:ascii="Times New Roman" w:hAnsi="Times New Roman" w:eastAsia="宋体" w:cs="Times New Roman"/>
          <w:kern w:val="0"/>
          <w:sz w:val="20"/>
          <w:szCs w:val="20"/>
          <w:highlight w:val="yellow"/>
          <w:lang w:val="en-GB"/>
        </w:rPr>
      </w:pPr>
    </w:p>
    <w:p w14:paraId="70E45A94">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灭活疫苗用丁腈胶塞（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28</w:t>
      </w:r>
      <w:r>
        <w:rPr>
          <w:rFonts w:hint="eastAsia" w:ascii="Times New Roman" w:hAnsi="Times New Roman" w:eastAsia="宋体" w:cs="Times New Roman"/>
          <w:i/>
          <w:sz w:val="21"/>
          <w:lang w:val="en-GB" w:eastAsia="zh-CN" w:bidi="ar-SA"/>
        </w:rPr>
        <w:t>）</w:t>
      </w:r>
      <w:bookmarkEnd w:id="150"/>
      <w:bookmarkEnd w:id="151"/>
      <w:bookmarkEnd w:id="152"/>
      <w:bookmarkEnd w:id="153"/>
    </w:p>
    <w:p w14:paraId="4640C727">
      <w:pPr>
        <w:widowControl/>
        <w:numPr>
          <w:ilvl w:val="0"/>
          <w:numId w:val="16"/>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*冠部直径：26.60mm±0.30mm</w:t>
      </w:r>
    </w:p>
    <w:p w14:paraId="436DEC0F">
      <w:pPr>
        <w:widowControl/>
        <w:numPr>
          <w:ilvl w:val="0"/>
          <w:numId w:val="16"/>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*冠部厚度：3.80mm±0.30mm</w:t>
      </w:r>
    </w:p>
    <w:p w14:paraId="37CE1D75">
      <w:pPr>
        <w:widowControl/>
        <w:numPr>
          <w:ilvl w:val="0"/>
          <w:numId w:val="16"/>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颈直径：18.00mm±0.20mm</w:t>
      </w:r>
    </w:p>
    <w:p w14:paraId="284D5503">
      <w:pPr>
        <w:widowControl/>
        <w:numPr>
          <w:ilvl w:val="0"/>
          <w:numId w:val="16"/>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度：11.8mm±0.40mm</w:t>
      </w:r>
    </w:p>
    <w:p w14:paraId="3323FA0F">
      <w:pPr>
        <w:keepNext/>
        <w:numPr>
          <w:ilvl w:val="2"/>
          <w:numId w:val="11"/>
        </w:numPr>
        <w:spacing w:before="240" w:beforeLines="0" w:after="60" w:afterLines="0"/>
        <w:outlineLvl w:val="2"/>
        <w:rPr>
          <w:rFonts w:hint="eastAsia" w:ascii="Times New Roman" w:hAnsi="Times New Roman" w:eastAsia="宋体" w:cs="Times New Roman"/>
          <w:i/>
          <w:sz w:val="24"/>
          <w:lang w:val="en-GB" w:eastAsia="zh-CN" w:bidi="ar-SA"/>
        </w:rPr>
      </w:pPr>
      <w:bookmarkStart w:id="154" w:name="_Toc6226"/>
      <w:bookmarkStart w:id="155" w:name="_Toc11439"/>
      <w:bookmarkStart w:id="156" w:name="_Toc22406"/>
      <w:bookmarkStart w:id="157" w:name="_Toc10890"/>
      <w:r>
        <w:rPr>
          <w:rFonts w:hint="eastAsia" w:ascii="Times New Roman" w:hAnsi="Times New Roman" w:eastAsia="宋体" w:cs="Times New Roman"/>
          <w:i/>
          <w:sz w:val="24"/>
          <w:lang w:val="en-US" w:eastAsia="zh-CN" w:bidi="ar-SA"/>
        </w:rPr>
        <w:t>Ø20免洗胶塞</w:t>
      </w:r>
      <w:r>
        <w:rPr>
          <w:rFonts w:hint="eastAsia" w:ascii="Times New Roman" w:hAnsi="Times New Roman" w:eastAsia="宋体" w:cs="Times New Roman"/>
          <w:i/>
          <w:sz w:val="24"/>
          <w:lang w:val="en-GB" w:eastAsia="zh-CN" w:bidi="ar-SA"/>
        </w:rPr>
        <w:t>细菌内毒素测定</w:t>
      </w:r>
    </w:p>
    <w:p w14:paraId="0B3257A0">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细菌内毒素含量应低于</w:t>
      </w:r>
      <w:r>
        <w:rPr>
          <w:rFonts w:hint="eastAsia" w:ascii="Times New Roman" w:hAnsi="Times New Roman" w:eastAsia="宋体" w:cs="Times New Roman"/>
          <w:kern w:val="0"/>
          <w:sz w:val="20"/>
          <w:szCs w:val="20"/>
          <w:lang w:val="en-US"/>
        </w:rPr>
        <w:t>0.25</w:t>
      </w:r>
      <w:r>
        <w:rPr>
          <w:rFonts w:hint="eastAsia" w:ascii="Times New Roman" w:hAnsi="Times New Roman" w:eastAsia="宋体" w:cs="Times New Roman"/>
          <w:kern w:val="0"/>
          <w:sz w:val="20"/>
          <w:szCs w:val="20"/>
          <w:lang w:val="en-GB"/>
        </w:rPr>
        <w:t>EU</w:t>
      </w:r>
      <w:r>
        <w:rPr>
          <w:rFonts w:hint="eastAsia" w:ascii="Times New Roman" w:hAnsi="Times New Roman" w:eastAsia="宋体" w:cs="Times New Roman"/>
          <w:kern w:val="0"/>
          <w:sz w:val="20"/>
          <w:szCs w:val="20"/>
          <w:lang w:val="en-US"/>
        </w:rPr>
        <w:t>/ml</w:t>
      </w:r>
    </w:p>
    <w:p w14:paraId="3129C164">
      <w:pPr>
        <w:keepNext/>
        <w:numPr>
          <w:ilvl w:val="2"/>
          <w:numId w:val="11"/>
        </w:numPr>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GB" w:eastAsia="zh-CN" w:bidi="ar-SA"/>
        </w:rPr>
        <w:t>物理性质</w:t>
      </w:r>
      <w:bookmarkEnd w:id="154"/>
      <w:bookmarkEnd w:id="155"/>
      <w:bookmarkEnd w:id="156"/>
      <w:bookmarkEnd w:id="157"/>
    </w:p>
    <w:p w14:paraId="65C95A50">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bookmarkStart w:id="158" w:name="_Toc22201"/>
      <w:bookmarkStart w:id="159" w:name="_Toc30001"/>
      <w:bookmarkStart w:id="160" w:name="_Toc31663"/>
      <w:bookmarkStart w:id="161" w:name="_Toc25606"/>
      <w:r>
        <w:rPr>
          <w:rFonts w:hint="eastAsia" w:ascii="Times New Roman" w:hAnsi="Times New Roman" w:eastAsia="宋体" w:cs="Times New Roman"/>
          <w:i/>
          <w:sz w:val="21"/>
          <w:lang w:val="en-GB" w:eastAsia="zh-CN" w:bidi="ar-SA"/>
        </w:rPr>
        <w:t>硬度</w:t>
      </w:r>
      <w:bookmarkEnd w:id="158"/>
      <w:bookmarkEnd w:id="159"/>
      <w:bookmarkEnd w:id="160"/>
      <w:bookmarkEnd w:id="161"/>
    </w:p>
    <w:p w14:paraId="4AF89893">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邵氏A硬度应不超过规定值的±5度</w:t>
      </w:r>
    </w:p>
    <w:p w14:paraId="55D12FCD">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bookmarkStart w:id="162" w:name="_Toc19392"/>
      <w:bookmarkStart w:id="163" w:name="_Toc23139"/>
      <w:bookmarkStart w:id="164" w:name="_Toc22809"/>
      <w:bookmarkStart w:id="165" w:name="_Toc19230"/>
      <w:r>
        <w:rPr>
          <w:rFonts w:hint="eastAsia" w:ascii="Times New Roman" w:hAnsi="Times New Roman" w:eastAsia="宋体" w:cs="Times New Roman"/>
          <w:i/>
          <w:sz w:val="21"/>
          <w:lang w:val="en-GB" w:eastAsia="zh-CN" w:bidi="ar-SA"/>
        </w:rPr>
        <w:t>针刺落屑</w:t>
      </w:r>
      <w:bookmarkEnd w:id="162"/>
      <w:bookmarkEnd w:id="163"/>
      <w:bookmarkEnd w:id="164"/>
      <w:bookmarkEnd w:id="165"/>
    </w:p>
    <w:p w14:paraId="5659C8CF">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瓶塞针刺落屑应不超过5粒</w:t>
      </w:r>
    </w:p>
    <w:p w14:paraId="74F608FD">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bookmarkStart w:id="166" w:name="_Toc20420"/>
      <w:bookmarkStart w:id="167" w:name="_Toc32214"/>
      <w:bookmarkStart w:id="168" w:name="_Toc12171"/>
      <w:bookmarkStart w:id="169" w:name="_Toc9812"/>
      <w:r>
        <w:rPr>
          <w:rFonts w:hint="eastAsia" w:ascii="Times New Roman" w:hAnsi="Times New Roman" w:eastAsia="宋体" w:cs="Times New Roman"/>
          <w:i/>
          <w:sz w:val="21"/>
          <w:lang w:val="en-GB" w:eastAsia="zh-CN" w:bidi="ar-SA"/>
        </w:rPr>
        <w:t>穿刺力</w:t>
      </w:r>
      <w:bookmarkEnd w:id="166"/>
      <w:bookmarkEnd w:id="167"/>
      <w:bookmarkEnd w:id="168"/>
      <w:bookmarkEnd w:id="169"/>
    </w:p>
    <w:p w14:paraId="13E8B97D">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穿刺瓶塞所需的力应不超过10N</w:t>
      </w:r>
    </w:p>
    <w:p w14:paraId="6A67367A">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bookmarkStart w:id="170" w:name="_Toc25929"/>
      <w:bookmarkStart w:id="171" w:name="_Toc18590"/>
      <w:bookmarkStart w:id="172" w:name="_Toc22039"/>
      <w:bookmarkStart w:id="173" w:name="_Toc32529"/>
      <w:r>
        <w:rPr>
          <w:rFonts w:hint="eastAsia" w:ascii="Times New Roman" w:hAnsi="Times New Roman" w:eastAsia="宋体" w:cs="Times New Roman"/>
          <w:i/>
          <w:sz w:val="21"/>
          <w:lang w:val="en-GB" w:eastAsia="zh-CN" w:bidi="ar-SA"/>
        </w:rPr>
        <w:t>瓶塞与容器密合性</w:t>
      </w:r>
      <w:bookmarkEnd w:id="170"/>
      <w:bookmarkEnd w:id="171"/>
      <w:bookmarkEnd w:id="172"/>
      <w:bookmarkEnd w:id="173"/>
    </w:p>
    <w:p w14:paraId="01AC525B">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瓶塞与所配套的瓶子应密合</w:t>
      </w:r>
    </w:p>
    <w:p w14:paraId="1357CF13">
      <w:pPr>
        <w:keepNext/>
        <w:numPr>
          <w:ilvl w:val="3"/>
          <w:numId w:val="11"/>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en-GB" w:eastAsia="zh-CN" w:bidi="ar-SA"/>
        </w:rPr>
        <w:t>自密封性</w:t>
      </w:r>
    </w:p>
    <w:p w14:paraId="474CB9CC">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瓶塞经3次穿刺，应符合自密封性试验，亚甲蓝溶液不应渗入瓶内</w:t>
      </w:r>
    </w:p>
    <w:p w14:paraId="2FA7A1AB">
      <w:pPr>
        <w:keepNext/>
        <w:numPr>
          <w:ilvl w:val="3"/>
          <w:numId w:val="11"/>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水分</w:t>
      </w:r>
    </w:p>
    <w:p w14:paraId="239C78FD">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水分应不大于</w:t>
      </w:r>
      <w:r>
        <w:rPr>
          <w:rFonts w:hint="eastAsia" w:ascii="Times New Roman" w:hAnsi="Times New Roman" w:eastAsia="宋体" w:cs="Times New Roman"/>
          <w:kern w:val="0"/>
          <w:sz w:val="20"/>
          <w:szCs w:val="20"/>
          <w:lang w:val="en-US"/>
        </w:rPr>
        <w:t>0.5%</w:t>
      </w:r>
    </w:p>
    <w:p w14:paraId="08403797">
      <w:pPr>
        <w:keepNext/>
        <w:numPr>
          <w:ilvl w:val="3"/>
          <w:numId w:val="11"/>
        </w:numPr>
        <w:spacing w:before="240" w:beforeLines="0" w:after="60" w:afterLines="0"/>
        <w:outlineLvl w:val="3"/>
        <w:rPr>
          <w:rFonts w:ascii="Times New Roman" w:hAnsi="Times New Roman" w:eastAsia="宋体" w:cs="Times New Roman"/>
          <w:i/>
          <w:sz w:val="21"/>
          <w:lang w:val="en-US" w:eastAsia="zh-CN" w:bidi="ar-SA"/>
        </w:rPr>
      </w:pPr>
      <w:r>
        <w:rPr>
          <w:rFonts w:hint="eastAsia" w:ascii="Times New Roman" w:hAnsi="Times New Roman" w:eastAsia="宋体" w:cs="Times New Roman"/>
          <w:i/>
          <w:sz w:val="21"/>
          <w:lang w:val="en-US" w:eastAsia="zh-CN" w:bidi="ar-SA"/>
        </w:rPr>
        <w:t>灰分</w:t>
      </w:r>
    </w:p>
    <w:p w14:paraId="006080A4">
      <w:pPr>
        <w:widowControl/>
        <w:jc w:val="left"/>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遗留残渣不超过50%</w:t>
      </w:r>
    </w:p>
    <w:p w14:paraId="342ED3DD">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bookmarkStart w:id="174" w:name="_Toc7862"/>
      <w:bookmarkStart w:id="175" w:name="_Toc21574"/>
      <w:bookmarkStart w:id="176" w:name="_Toc29718"/>
      <w:bookmarkStart w:id="177" w:name="_Toc4014"/>
      <w:r>
        <w:rPr>
          <w:rFonts w:hint="eastAsia" w:ascii="Times New Roman" w:hAnsi="Times New Roman" w:eastAsia="宋体" w:cs="Times New Roman"/>
          <w:i/>
          <w:sz w:val="24"/>
          <w:lang w:val="en-GB" w:eastAsia="zh-CN" w:bidi="ar-SA"/>
        </w:rPr>
        <w:t>化学性能</w:t>
      </w:r>
      <w:bookmarkEnd w:id="174"/>
      <w:bookmarkEnd w:id="175"/>
      <w:bookmarkEnd w:id="176"/>
      <w:bookmarkEnd w:id="177"/>
      <w:r>
        <w:rPr>
          <w:rFonts w:hint="eastAsia" w:ascii="Times New Roman" w:hAnsi="Times New Roman" w:eastAsia="宋体" w:cs="Times New Roman"/>
          <w:i/>
          <w:sz w:val="24"/>
          <w:lang w:val="en-GB" w:eastAsia="zh-CN" w:bidi="ar-SA"/>
        </w:rPr>
        <w:t>（溶出物）</w:t>
      </w:r>
    </w:p>
    <w:p w14:paraId="3CB8C4BE">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应符合下表的规定：</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0"/>
        <w:gridCol w:w="2484"/>
      </w:tblGrid>
      <w:tr w14:paraId="51B7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2B45EC95">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项目</w:t>
            </w:r>
          </w:p>
        </w:tc>
        <w:tc>
          <w:tcPr>
            <w:tcW w:w="2484" w:type="dxa"/>
            <w:noWrap w:val="0"/>
            <w:vAlign w:val="top"/>
          </w:tcPr>
          <w:p w14:paraId="3F740BD0">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指标</w:t>
            </w:r>
          </w:p>
        </w:tc>
      </w:tr>
      <w:tr w14:paraId="2249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23CC7E7E">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挥发性硫化物（以Na</w:t>
            </w:r>
            <w:r>
              <w:rPr>
                <w:rFonts w:hint="eastAsia" w:ascii="Times New Roman" w:hAnsi="Times New Roman" w:eastAsia="宋体" w:cs="Times New Roman"/>
                <w:kern w:val="0"/>
                <w:sz w:val="20"/>
                <w:szCs w:val="20"/>
                <w:vertAlign w:val="subscript"/>
                <w:lang w:val="en-GB"/>
              </w:rPr>
              <w:t>2</w:t>
            </w:r>
            <w:r>
              <w:rPr>
                <w:rFonts w:hint="eastAsia" w:ascii="Times New Roman" w:hAnsi="Times New Roman" w:eastAsia="宋体" w:cs="Times New Roman"/>
                <w:kern w:val="0"/>
                <w:sz w:val="20"/>
                <w:szCs w:val="20"/>
                <w:lang w:val="en-GB"/>
              </w:rPr>
              <w:t>S/20cm</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橡胶表面计），μg</w:t>
            </w:r>
          </w:p>
        </w:tc>
        <w:tc>
          <w:tcPr>
            <w:tcW w:w="2484" w:type="dxa"/>
            <w:noWrap w:val="0"/>
            <w:vAlign w:val="top"/>
          </w:tcPr>
          <w:p w14:paraId="7A8ACC19">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不高于50</w:t>
            </w:r>
          </w:p>
        </w:tc>
      </w:tr>
      <w:tr w14:paraId="0451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4BEB4E0F">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紫外吸光度（220~360nm）</w:t>
            </w:r>
          </w:p>
        </w:tc>
        <w:tc>
          <w:tcPr>
            <w:tcW w:w="2484" w:type="dxa"/>
            <w:noWrap w:val="0"/>
            <w:vAlign w:val="top"/>
          </w:tcPr>
          <w:p w14:paraId="0E6F9E58">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不高于0.2</w:t>
            </w:r>
          </w:p>
        </w:tc>
      </w:tr>
      <w:tr w14:paraId="32E9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488B16CB">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还原物质（20ml浸取液消耗0.01mol/L的1/5KMnO</w:t>
            </w:r>
            <w:r>
              <w:rPr>
                <w:rFonts w:hint="eastAsia" w:ascii="Times New Roman" w:hAnsi="Times New Roman" w:eastAsia="宋体" w:cs="Times New Roman"/>
                <w:kern w:val="0"/>
                <w:sz w:val="20"/>
                <w:szCs w:val="20"/>
                <w:vertAlign w:val="subscript"/>
                <w:lang w:val="en-GB"/>
              </w:rPr>
              <w:t>4</w:t>
            </w:r>
            <w:r>
              <w:rPr>
                <w:rFonts w:hint="eastAsia" w:ascii="Times New Roman" w:hAnsi="Times New Roman" w:eastAsia="宋体" w:cs="Times New Roman"/>
                <w:kern w:val="0"/>
                <w:sz w:val="20"/>
                <w:szCs w:val="20"/>
                <w:lang w:val="en-GB"/>
              </w:rPr>
              <w:t>的量），ml</w:t>
            </w:r>
          </w:p>
        </w:tc>
        <w:tc>
          <w:tcPr>
            <w:tcW w:w="2484" w:type="dxa"/>
            <w:noWrap w:val="0"/>
            <w:vAlign w:val="top"/>
          </w:tcPr>
          <w:p w14:paraId="57029C4D">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不高于7.0</w:t>
            </w:r>
          </w:p>
        </w:tc>
      </w:tr>
      <w:tr w14:paraId="144A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2DAEAE53">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电导率，μS/</w:t>
            </w:r>
            <w:r>
              <w:rPr>
                <w:rFonts w:hint="eastAsia" w:ascii="Times New Roman" w:hAnsi="Times New Roman" w:eastAsia="宋体" w:cs="Times New Roman"/>
                <w:kern w:val="0"/>
                <w:sz w:val="20"/>
                <w:szCs w:val="20"/>
                <w:lang w:val="en-US"/>
              </w:rPr>
              <w:t>c</w:t>
            </w:r>
            <w:r>
              <w:rPr>
                <w:rFonts w:hint="eastAsia" w:ascii="Times New Roman" w:hAnsi="Times New Roman" w:eastAsia="宋体" w:cs="Times New Roman"/>
                <w:kern w:val="0"/>
                <w:sz w:val="20"/>
                <w:szCs w:val="20"/>
                <w:lang w:val="en-GB"/>
              </w:rPr>
              <w:t>m</w:t>
            </w:r>
          </w:p>
        </w:tc>
        <w:tc>
          <w:tcPr>
            <w:tcW w:w="2484" w:type="dxa"/>
            <w:noWrap w:val="0"/>
            <w:vAlign w:val="top"/>
          </w:tcPr>
          <w:p w14:paraId="34BEFD40">
            <w:pPr>
              <w:widowControl/>
              <w:jc w:val="center"/>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不高于</w:t>
            </w:r>
            <w:r>
              <w:rPr>
                <w:rFonts w:hint="eastAsia" w:ascii="Times New Roman" w:hAnsi="Times New Roman" w:eastAsia="宋体" w:cs="Times New Roman"/>
                <w:kern w:val="0"/>
                <w:sz w:val="20"/>
                <w:szCs w:val="20"/>
                <w:lang w:val="en-US"/>
              </w:rPr>
              <w:t>40</w:t>
            </w:r>
          </w:p>
        </w:tc>
      </w:tr>
      <w:tr w14:paraId="14DA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26B403E3">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浑浊度，级</w:t>
            </w:r>
          </w:p>
        </w:tc>
        <w:tc>
          <w:tcPr>
            <w:tcW w:w="2484" w:type="dxa"/>
            <w:noWrap w:val="0"/>
            <w:vAlign w:val="top"/>
          </w:tcPr>
          <w:p w14:paraId="4C49D1E8">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14:paraId="238C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4A0EB0A0">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pH变化值</w:t>
            </w:r>
          </w:p>
        </w:tc>
        <w:tc>
          <w:tcPr>
            <w:tcW w:w="2484" w:type="dxa"/>
            <w:noWrap w:val="0"/>
            <w:vAlign w:val="top"/>
          </w:tcPr>
          <w:p w14:paraId="307D4F7F">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14:paraId="58C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508394F7">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重金属（以Pb</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14:paraId="52A9EDB0">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14:paraId="798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1EEEE201">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铵（以NH4</w:t>
            </w:r>
            <w:r>
              <w:rPr>
                <w:rFonts w:hint="eastAsia" w:ascii="Times New Roman" w:hAnsi="Times New Roman" w:eastAsia="宋体" w:cs="Times New Roman"/>
                <w:kern w:val="0"/>
                <w:sz w:val="20"/>
                <w:szCs w:val="20"/>
                <w:vertAlign w:val="superscript"/>
                <w:lang w:val="en-GB"/>
              </w:rPr>
              <w:t>+</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14:paraId="46E9078E">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不高于2.0</w:t>
            </w:r>
          </w:p>
        </w:tc>
      </w:tr>
      <w:tr w14:paraId="76D6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65C9071E">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锌（以Zn</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14:paraId="3D8DD338">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14:paraId="4D5A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14:paraId="255E040F">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不挥发物（每100ml浸取液），mg</w:t>
            </w:r>
          </w:p>
        </w:tc>
        <w:tc>
          <w:tcPr>
            <w:tcW w:w="2484" w:type="dxa"/>
            <w:noWrap w:val="0"/>
            <w:vAlign w:val="top"/>
          </w:tcPr>
          <w:p w14:paraId="4A586EFF">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不高于4.0</w:t>
            </w:r>
          </w:p>
        </w:tc>
      </w:tr>
    </w:tbl>
    <w:p w14:paraId="1563AF24">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bookmarkStart w:id="178" w:name="_Toc8201"/>
      <w:bookmarkStart w:id="179" w:name="_Toc1565"/>
      <w:bookmarkStart w:id="180" w:name="_Toc23875"/>
      <w:bookmarkStart w:id="181" w:name="_Toc25080"/>
      <w:r>
        <w:rPr>
          <w:rFonts w:hint="eastAsia" w:ascii="Times New Roman" w:hAnsi="Times New Roman" w:eastAsia="宋体" w:cs="Times New Roman"/>
          <w:i/>
          <w:sz w:val="24"/>
          <w:lang w:val="fr-FR" w:eastAsia="zh-CN" w:bidi="ar-SA"/>
        </w:rPr>
        <w:t>生物性能</w:t>
      </w:r>
      <w:bookmarkEnd w:id="178"/>
      <w:bookmarkEnd w:id="179"/>
      <w:bookmarkEnd w:id="180"/>
      <w:bookmarkEnd w:id="181"/>
      <w:r>
        <w:rPr>
          <w:rFonts w:hint="eastAsia" w:ascii="Times New Roman" w:hAnsi="Times New Roman" w:eastAsia="宋体" w:cs="Times New Roman"/>
          <w:i/>
          <w:sz w:val="24"/>
          <w:lang w:val="en-US" w:eastAsia="zh-CN" w:bidi="ar-SA"/>
        </w:rPr>
        <w:t xml:space="preserve"> </w:t>
      </w:r>
    </w:p>
    <w:p w14:paraId="79EC0822">
      <w:pPr>
        <w:keepNext/>
        <w:numPr>
          <w:ilvl w:val="3"/>
          <w:numId w:val="11"/>
        </w:numPr>
        <w:spacing w:before="240" w:beforeLines="0" w:after="60" w:afterLines="0"/>
        <w:outlineLvl w:val="3"/>
        <w:rPr>
          <w:rFonts w:hint="eastAsia" w:ascii="Times New Roman" w:hAnsi="Times New Roman" w:eastAsia="宋体" w:cs="Times New Roman"/>
          <w:i/>
          <w:sz w:val="21"/>
          <w:lang w:val="fr-FR" w:eastAsia="zh-CN" w:bidi="ar-SA"/>
        </w:rPr>
      </w:pPr>
      <w:bookmarkStart w:id="182" w:name="_Toc29189"/>
      <w:bookmarkStart w:id="183" w:name="_Toc31222"/>
      <w:bookmarkStart w:id="184" w:name="_Toc21971"/>
      <w:bookmarkStart w:id="185" w:name="_Toc3155"/>
      <w:r>
        <w:rPr>
          <w:rFonts w:hint="eastAsia" w:ascii="Times New Roman" w:hAnsi="Times New Roman" w:eastAsia="宋体" w:cs="Times New Roman"/>
          <w:i/>
          <w:sz w:val="21"/>
          <w:lang w:val="fr-FR" w:eastAsia="zh-CN" w:bidi="ar-SA"/>
        </w:rPr>
        <w:t>致热源</w:t>
      </w:r>
      <w:bookmarkEnd w:id="182"/>
      <w:bookmarkEnd w:id="183"/>
      <w:bookmarkEnd w:id="184"/>
      <w:bookmarkEnd w:id="185"/>
    </w:p>
    <w:p w14:paraId="5ACC71D1">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无致热源</w:t>
      </w:r>
    </w:p>
    <w:p w14:paraId="37BB3C19">
      <w:pPr>
        <w:keepNext/>
        <w:numPr>
          <w:ilvl w:val="3"/>
          <w:numId w:val="11"/>
        </w:numPr>
        <w:spacing w:before="240" w:beforeLines="0" w:after="60" w:afterLines="0"/>
        <w:outlineLvl w:val="3"/>
        <w:rPr>
          <w:rFonts w:hint="eastAsia" w:ascii="Times New Roman" w:hAnsi="Times New Roman" w:eastAsia="宋体" w:cs="Times New Roman"/>
          <w:i/>
          <w:sz w:val="21"/>
          <w:lang w:val="fr-FR" w:eastAsia="zh-CN" w:bidi="ar-SA"/>
        </w:rPr>
      </w:pPr>
      <w:bookmarkStart w:id="186" w:name="_Toc11170"/>
      <w:bookmarkStart w:id="187" w:name="_Toc20144"/>
      <w:bookmarkStart w:id="188" w:name="_Toc28433"/>
      <w:bookmarkStart w:id="189" w:name="_Toc14670"/>
      <w:r>
        <w:rPr>
          <w:rFonts w:hint="eastAsia" w:ascii="Times New Roman" w:hAnsi="Times New Roman" w:eastAsia="宋体" w:cs="Times New Roman"/>
          <w:i/>
          <w:sz w:val="21"/>
          <w:lang w:val="fr-FR" w:eastAsia="zh-CN" w:bidi="ar-SA"/>
        </w:rPr>
        <w:t>急性毒性</w:t>
      </w:r>
      <w:bookmarkEnd w:id="186"/>
      <w:bookmarkEnd w:id="187"/>
      <w:bookmarkEnd w:id="188"/>
      <w:bookmarkEnd w:id="189"/>
    </w:p>
    <w:p w14:paraId="7B3055C6">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小鼠尾静脉</w:t>
      </w:r>
      <w:r>
        <w:rPr>
          <w:rFonts w:hint="eastAsia" w:ascii="Times New Roman" w:hAnsi="Times New Roman" w:eastAsia="宋体" w:cs="Times New Roman"/>
          <w:kern w:val="0"/>
          <w:sz w:val="20"/>
          <w:szCs w:val="20"/>
          <w:lang w:val="en-US"/>
        </w:rPr>
        <w:t>接种</w:t>
      </w:r>
      <w:r>
        <w:rPr>
          <w:rFonts w:hint="eastAsia" w:ascii="Times New Roman" w:hAnsi="Times New Roman" w:eastAsia="宋体" w:cs="Times New Roman"/>
          <w:kern w:val="0"/>
          <w:sz w:val="20"/>
          <w:szCs w:val="20"/>
          <w:lang w:val="fr-FR"/>
        </w:rPr>
        <w:t>实验，观察3日，5/5只应全部健活</w:t>
      </w:r>
    </w:p>
    <w:p w14:paraId="241415B9">
      <w:pPr>
        <w:keepNext/>
        <w:numPr>
          <w:ilvl w:val="3"/>
          <w:numId w:val="11"/>
        </w:numPr>
        <w:spacing w:before="240" w:beforeLines="0" w:after="60" w:afterLines="0"/>
        <w:outlineLvl w:val="3"/>
        <w:rPr>
          <w:rFonts w:hint="eastAsia" w:ascii="Times New Roman" w:hAnsi="Times New Roman" w:eastAsia="宋体" w:cs="Times New Roman"/>
          <w:i/>
          <w:sz w:val="21"/>
          <w:lang w:val="fr-FR" w:eastAsia="zh-CN" w:bidi="ar-SA"/>
        </w:rPr>
      </w:pPr>
      <w:bookmarkStart w:id="190" w:name="_Toc4341"/>
      <w:bookmarkStart w:id="191" w:name="_Toc16876"/>
      <w:bookmarkStart w:id="192" w:name="_Toc8328"/>
      <w:bookmarkStart w:id="193" w:name="_Toc32479"/>
      <w:r>
        <w:rPr>
          <w:rFonts w:hint="eastAsia" w:ascii="Times New Roman" w:hAnsi="Times New Roman" w:eastAsia="宋体" w:cs="Times New Roman"/>
          <w:i/>
          <w:sz w:val="21"/>
          <w:lang w:val="en-US" w:eastAsia="zh-CN" w:bidi="ar-SA"/>
        </w:rPr>
        <w:t>硅化</w:t>
      </w:r>
    </w:p>
    <w:p w14:paraId="276E6D2C">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胶塞出厂前必需经过硅化，</w:t>
      </w:r>
      <w:r>
        <w:rPr>
          <w:rFonts w:hint="eastAsia" w:ascii="Times New Roman" w:hAnsi="Times New Roman" w:eastAsia="宋体" w:cs="Times New Roman"/>
          <w:kern w:val="0"/>
          <w:sz w:val="20"/>
          <w:szCs w:val="20"/>
          <w:lang w:val="en-US"/>
        </w:rPr>
        <w:t>提供硅化中硅油比例</w:t>
      </w:r>
    </w:p>
    <w:p w14:paraId="5315E83D">
      <w:pPr>
        <w:keepNext/>
        <w:numPr>
          <w:ilvl w:val="3"/>
          <w:numId w:val="11"/>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fr-FR" w:eastAsia="zh-CN" w:bidi="ar-SA"/>
        </w:rPr>
        <w:t>溶血作用</w:t>
      </w:r>
      <w:bookmarkEnd w:id="190"/>
      <w:bookmarkEnd w:id="191"/>
      <w:bookmarkEnd w:id="192"/>
      <w:bookmarkEnd w:id="193"/>
    </w:p>
    <w:p w14:paraId="10B1B5C3">
      <w:pPr>
        <w:widowControl/>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溶血率应小于5%</w:t>
      </w:r>
    </w:p>
    <w:p w14:paraId="3C12CEB1">
      <w:pPr>
        <w:keepNext/>
        <w:numPr>
          <w:ilvl w:val="2"/>
          <w:numId w:val="11"/>
        </w:numPr>
        <w:spacing w:before="240" w:beforeLines="0" w:after="60" w:afterLines="0"/>
        <w:outlineLvl w:val="2"/>
        <w:rPr>
          <w:rFonts w:hint="eastAsia" w:ascii="Times New Roman" w:hAnsi="Times New Roman" w:eastAsia="宋体" w:cs="Times New Roman"/>
          <w:i/>
          <w:sz w:val="24"/>
          <w:lang w:val="fr-FR" w:eastAsia="zh-CN" w:bidi="ar-SA"/>
        </w:rPr>
      </w:pPr>
      <w:bookmarkStart w:id="194" w:name="_Toc22853"/>
      <w:bookmarkStart w:id="195" w:name="_Toc18977"/>
      <w:bookmarkStart w:id="196" w:name="_Toc5808"/>
      <w:bookmarkStart w:id="197" w:name="_Toc29790"/>
      <w:r>
        <w:rPr>
          <w:rFonts w:hint="eastAsia" w:ascii="Times New Roman" w:hAnsi="Times New Roman" w:eastAsia="宋体" w:cs="Times New Roman"/>
          <w:i/>
          <w:sz w:val="24"/>
          <w:lang w:val="fr-FR" w:eastAsia="zh-CN" w:bidi="ar-SA"/>
        </w:rPr>
        <w:t>外观</w:t>
      </w:r>
      <w:bookmarkEnd w:id="194"/>
      <w:bookmarkEnd w:id="195"/>
      <w:bookmarkEnd w:id="196"/>
      <w:bookmarkEnd w:id="197"/>
      <w:r>
        <w:rPr>
          <w:rFonts w:hint="eastAsia" w:ascii="Times New Roman" w:hAnsi="Times New Roman" w:eastAsia="宋体" w:cs="Times New Roman"/>
          <w:i/>
          <w:sz w:val="24"/>
          <w:lang w:val="fr-FR" w:eastAsia="zh-CN" w:bidi="ar-SA"/>
        </w:rPr>
        <w:t xml:space="preserve">  </w:t>
      </w:r>
    </w:p>
    <w:p w14:paraId="6A4F2983">
      <w:pPr>
        <w:widowControl/>
        <w:numPr>
          <w:ilvl w:val="0"/>
          <w:numId w:val="17"/>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表面不应有污点、杂质、气泡、裂纹</w:t>
      </w:r>
    </w:p>
    <w:p w14:paraId="279A2340">
      <w:pPr>
        <w:widowControl/>
        <w:numPr>
          <w:ilvl w:val="0"/>
          <w:numId w:val="17"/>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表面不应有缺胶、粗糙、胶丝、胶屑、海绵状，毛边</w:t>
      </w:r>
    </w:p>
    <w:p w14:paraId="44A55199">
      <w:pPr>
        <w:widowControl/>
        <w:numPr>
          <w:ilvl w:val="0"/>
          <w:numId w:val="17"/>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不应有除边造成的残缺或锯齿现象</w:t>
      </w:r>
    </w:p>
    <w:p w14:paraId="5BE939B4">
      <w:pPr>
        <w:widowControl/>
        <w:numPr>
          <w:ilvl w:val="0"/>
          <w:numId w:val="17"/>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不应有模具造成的明显痕迹</w:t>
      </w:r>
    </w:p>
    <w:p w14:paraId="0E1BB4D0">
      <w:pPr>
        <w:widowControl/>
        <w:numPr>
          <w:ilvl w:val="0"/>
          <w:numId w:val="17"/>
        </w:numPr>
        <w:ind w:left="425" w:hanging="425"/>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表面</w:t>
      </w:r>
      <w:r>
        <w:rPr>
          <w:rFonts w:hint="eastAsia" w:ascii="Times New Roman" w:hAnsi="Times New Roman" w:eastAsia="宋体" w:cs="Times New Roman"/>
          <w:kern w:val="0"/>
          <w:sz w:val="20"/>
          <w:szCs w:val="20"/>
          <w:lang w:val="en-US"/>
        </w:rPr>
        <w:t>的</w:t>
      </w:r>
      <w:r>
        <w:rPr>
          <w:rFonts w:hint="eastAsia" w:ascii="Times New Roman" w:hAnsi="Times New Roman" w:eastAsia="宋体" w:cs="Times New Roman"/>
          <w:kern w:val="0"/>
          <w:sz w:val="20"/>
          <w:szCs w:val="20"/>
          <w:lang w:val="fr-FR"/>
        </w:rPr>
        <w:t>色泽</w:t>
      </w:r>
      <w:r>
        <w:rPr>
          <w:rFonts w:hint="eastAsia" w:ascii="Times New Roman" w:hAnsi="Times New Roman" w:eastAsia="宋体" w:cs="Times New Roman"/>
          <w:kern w:val="0"/>
          <w:sz w:val="20"/>
          <w:szCs w:val="20"/>
          <w:lang w:val="en-US"/>
        </w:rPr>
        <w:t>应</w:t>
      </w:r>
      <w:r>
        <w:rPr>
          <w:rFonts w:hint="eastAsia" w:ascii="Times New Roman" w:hAnsi="Times New Roman" w:eastAsia="宋体" w:cs="Times New Roman"/>
          <w:kern w:val="0"/>
          <w:sz w:val="20"/>
          <w:szCs w:val="20"/>
          <w:lang w:val="fr-FR"/>
        </w:rPr>
        <w:t>均匀</w:t>
      </w:r>
    </w:p>
    <w:p w14:paraId="0BA06940">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供货要求</w:t>
      </w:r>
    </w:p>
    <w:p w14:paraId="793C3C01">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胶塞外部至少两层塑料袋包装，每袋胶塞数量误差±0.3%</w:t>
      </w:r>
    </w:p>
    <w:p w14:paraId="268DB66E">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20规格胶塞每袋至少3000只，</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28规格胶塞每袋至少2000只，每袋装量取千位整数</w:t>
      </w:r>
    </w:p>
    <w:p w14:paraId="23EA82AC">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每新批次采购胶塞的首次使用作为试用批次，试用合格后，整批投入生产；试用不合格，整批退回</w:t>
      </w:r>
    </w:p>
    <w:p w14:paraId="2DF08975">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若有异常情况，24小时内给出合理处理意见</w:t>
      </w:r>
    </w:p>
    <w:p w14:paraId="4966A571">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非扬州威克合格供应商，中标后提供样品试用，经扬州威克质量管理部门按照合格供应商准入程序评估审核后采购。</w:t>
      </w:r>
    </w:p>
    <w:bookmarkEnd w:id="132"/>
    <w:p w14:paraId="6D158BF4">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344DA33"/>
    <w:multiLevelType w:val="singleLevel"/>
    <w:tmpl w:val="6344DA33"/>
    <w:lvl w:ilvl="0" w:tentative="0">
      <w:start w:val="1"/>
      <w:numFmt w:val="decimal"/>
      <w:lvlText w:val="%1."/>
      <w:lvlJc w:val="left"/>
      <w:pPr>
        <w:tabs>
          <w:tab w:val="left" w:pos="425"/>
        </w:tabs>
        <w:ind w:left="425" w:hanging="425"/>
      </w:pPr>
      <w:rPr>
        <w:rFonts w:hint="default"/>
      </w:rPr>
    </w:lvl>
  </w:abstractNum>
  <w:abstractNum w:abstractNumId="10">
    <w:nsid w:val="6344DAB4"/>
    <w:multiLevelType w:val="singleLevel"/>
    <w:tmpl w:val="6344DAB4"/>
    <w:lvl w:ilvl="0" w:tentative="0">
      <w:start w:val="1"/>
      <w:numFmt w:val="decimal"/>
      <w:lvlText w:val="%1."/>
      <w:lvlJc w:val="left"/>
      <w:pPr>
        <w:tabs>
          <w:tab w:val="left" w:pos="425"/>
        </w:tabs>
        <w:ind w:left="425" w:hanging="425"/>
      </w:pPr>
      <w:rPr>
        <w:rFonts w:hint="default"/>
      </w:rPr>
    </w:lvl>
  </w:abstractNum>
  <w:abstractNum w:abstractNumId="11">
    <w:nsid w:val="6344DAC9"/>
    <w:multiLevelType w:val="singleLevel"/>
    <w:tmpl w:val="6344DAC9"/>
    <w:lvl w:ilvl="0" w:tentative="0">
      <w:start w:val="1"/>
      <w:numFmt w:val="decimal"/>
      <w:lvlText w:val="%1."/>
      <w:lvlJc w:val="left"/>
      <w:pPr>
        <w:tabs>
          <w:tab w:val="left" w:pos="425"/>
        </w:tabs>
        <w:ind w:left="425" w:hanging="425"/>
      </w:pPr>
      <w:rPr>
        <w:rFonts w:hint="default"/>
      </w:rPr>
    </w:lvl>
  </w:abstractNum>
  <w:abstractNum w:abstractNumId="12">
    <w:nsid w:val="6344DD01"/>
    <w:multiLevelType w:val="singleLevel"/>
    <w:tmpl w:val="6344DD01"/>
    <w:lvl w:ilvl="0" w:tentative="0">
      <w:start w:val="1"/>
      <w:numFmt w:val="decimal"/>
      <w:lvlText w:val="%1."/>
      <w:lvlJc w:val="left"/>
      <w:pPr>
        <w:tabs>
          <w:tab w:val="left" w:pos="425"/>
        </w:tabs>
        <w:ind w:left="425" w:hanging="425"/>
      </w:pPr>
      <w:rPr>
        <w:rFonts w:hint="default"/>
      </w:rPr>
    </w:lvl>
  </w:abstractNum>
  <w:abstractNum w:abstractNumId="13">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4">
    <w:nsid w:val="6350B222"/>
    <w:multiLevelType w:val="singleLevel"/>
    <w:tmpl w:val="6350B222"/>
    <w:lvl w:ilvl="0" w:tentative="0">
      <w:start w:val="1"/>
      <w:numFmt w:val="decimal"/>
      <w:lvlText w:val="%1."/>
      <w:lvlJc w:val="left"/>
      <w:pPr>
        <w:tabs>
          <w:tab w:val="left" w:pos="425"/>
        </w:tabs>
        <w:ind w:left="425" w:hanging="425"/>
      </w:pPr>
      <w:rPr>
        <w:rFonts w:hint="default"/>
      </w:rPr>
    </w:lvl>
  </w:abstractNum>
  <w:abstractNum w:abstractNumId="15">
    <w:nsid w:val="763D8994"/>
    <w:multiLevelType w:val="singleLevel"/>
    <w:tmpl w:val="763D8994"/>
    <w:lvl w:ilvl="0" w:tentative="0">
      <w:start w:val="1"/>
      <w:numFmt w:val="decimal"/>
      <w:lvlText w:val="%1."/>
      <w:lvlJc w:val="left"/>
      <w:pPr>
        <w:ind w:left="425" w:hanging="425"/>
      </w:pPr>
      <w:rPr>
        <w:rFonts w:hint="default"/>
      </w:r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7"/>
  </w:num>
  <w:num w:numId="5">
    <w:abstractNumId w:val="2"/>
  </w:num>
  <w:num w:numId="6">
    <w:abstractNumId w:val="16"/>
  </w:num>
  <w:num w:numId="7">
    <w:abstractNumId w:val="7"/>
  </w:num>
  <w:num w:numId="8">
    <w:abstractNumId w:val="5"/>
  </w:num>
  <w:num w:numId="9">
    <w:abstractNumId w:val="0"/>
  </w:num>
  <w:num w:numId="10">
    <w:abstractNumId w:val="8"/>
  </w:num>
  <w:num w:numId="11">
    <w:abstractNumId w:val="4"/>
  </w:num>
  <w:num w:numId="12">
    <w:abstractNumId w:val="15"/>
  </w:num>
  <w:num w:numId="13">
    <w:abstractNumId w:val="9"/>
  </w:num>
  <w:num w:numId="14">
    <w:abstractNumId w:val="10"/>
  </w:num>
  <w:num w:numId="15">
    <w:abstractNumId w:val="14"/>
  </w:num>
  <w:num w:numId="16">
    <w:abstractNumId w:val="1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0D26947"/>
    <w:rsid w:val="114C6D7B"/>
    <w:rsid w:val="119D1D5C"/>
    <w:rsid w:val="124848DD"/>
    <w:rsid w:val="124B707D"/>
    <w:rsid w:val="12AF40AF"/>
    <w:rsid w:val="131309D9"/>
    <w:rsid w:val="142C6408"/>
    <w:rsid w:val="143E54A0"/>
    <w:rsid w:val="149208C7"/>
    <w:rsid w:val="17493924"/>
    <w:rsid w:val="17524BB4"/>
    <w:rsid w:val="17567E8F"/>
    <w:rsid w:val="17634B0D"/>
    <w:rsid w:val="17DD21C5"/>
    <w:rsid w:val="1A060CD7"/>
    <w:rsid w:val="1ABD1A3F"/>
    <w:rsid w:val="1BDA7124"/>
    <w:rsid w:val="1C2362A8"/>
    <w:rsid w:val="1C644176"/>
    <w:rsid w:val="1C846CAA"/>
    <w:rsid w:val="1CCA1D4D"/>
    <w:rsid w:val="1D1919F8"/>
    <w:rsid w:val="1D1E3239"/>
    <w:rsid w:val="1D447F67"/>
    <w:rsid w:val="1D511438"/>
    <w:rsid w:val="1D7E18EE"/>
    <w:rsid w:val="1D952DF5"/>
    <w:rsid w:val="1DA4399A"/>
    <w:rsid w:val="1E014BA0"/>
    <w:rsid w:val="1F1727BF"/>
    <w:rsid w:val="1F5444C8"/>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CD51841"/>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8B90282"/>
    <w:rsid w:val="39E25AC3"/>
    <w:rsid w:val="3A601B79"/>
    <w:rsid w:val="3A835B30"/>
    <w:rsid w:val="3A9A2C2A"/>
    <w:rsid w:val="3BCD47A7"/>
    <w:rsid w:val="3C440E8D"/>
    <w:rsid w:val="3CC80902"/>
    <w:rsid w:val="3D342B6E"/>
    <w:rsid w:val="3D524F7E"/>
    <w:rsid w:val="3E49171C"/>
    <w:rsid w:val="3E7034D9"/>
    <w:rsid w:val="3F4534B5"/>
    <w:rsid w:val="402D4B16"/>
    <w:rsid w:val="40B567C2"/>
    <w:rsid w:val="40F23A4C"/>
    <w:rsid w:val="411A359C"/>
    <w:rsid w:val="430D7208"/>
    <w:rsid w:val="4366434B"/>
    <w:rsid w:val="437D37DC"/>
    <w:rsid w:val="448E0841"/>
    <w:rsid w:val="44C73770"/>
    <w:rsid w:val="44E645F9"/>
    <w:rsid w:val="45401825"/>
    <w:rsid w:val="45E40A76"/>
    <w:rsid w:val="45EB594E"/>
    <w:rsid w:val="4804524C"/>
    <w:rsid w:val="48631BE9"/>
    <w:rsid w:val="48AC304C"/>
    <w:rsid w:val="48CA449B"/>
    <w:rsid w:val="49772E24"/>
    <w:rsid w:val="49A40179"/>
    <w:rsid w:val="4A4A0D21"/>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659F8"/>
    <w:rsid w:val="54181E8F"/>
    <w:rsid w:val="5492579E"/>
    <w:rsid w:val="55AB065F"/>
    <w:rsid w:val="55FA184D"/>
    <w:rsid w:val="56074CC6"/>
    <w:rsid w:val="56456AAE"/>
    <w:rsid w:val="566A5FD0"/>
    <w:rsid w:val="574F5F4C"/>
    <w:rsid w:val="589715D5"/>
    <w:rsid w:val="59FA3F6D"/>
    <w:rsid w:val="5A0A5462"/>
    <w:rsid w:val="5AAF3A76"/>
    <w:rsid w:val="5ADB1E70"/>
    <w:rsid w:val="5B4C57D4"/>
    <w:rsid w:val="5B9D1486"/>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1E7CEE"/>
    <w:rsid w:val="62662A93"/>
    <w:rsid w:val="635D0E7E"/>
    <w:rsid w:val="63827325"/>
    <w:rsid w:val="639F5962"/>
    <w:rsid w:val="64973FC9"/>
    <w:rsid w:val="64BC1D3B"/>
    <w:rsid w:val="64E01543"/>
    <w:rsid w:val="65130267"/>
    <w:rsid w:val="65402750"/>
    <w:rsid w:val="65EF46DF"/>
    <w:rsid w:val="668A305A"/>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7DE5C04"/>
    <w:rsid w:val="78BC2324"/>
    <w:rsid w:val="78CC6D3B"/>
    <w:rsid w:val="78DC67E8"/>
    <w:rsid w:val="792340C6"/>
    <w:rsid w:val="7AAB15D2"/>
    <w:rsid w:val="7B6706DA"/>
    <w:rsid w:val="7C0F7C94"/>
    <w:rsid w:val="7C6A2093"/>
    <w:rsid w:val="7CBF52AE"/>
    <w:rsid w:val="7D863AB9"/>
    <w:rsid w:val="7DC70AA0"/>
    <w:rsid w:val="7E4E64CE"/>
    <w:rsid w:val="7E74003D"/>
    <w:rsid w:val="7E9F6EE0"/>
    <w:rsid w:val="7F3C5B6C"/>
    <w:rsid w:val="7F6E0AB2"/>
    <w:rsid w:val="7FC3485D"/>
    <w:rsid w:val="7FF848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4782</Words>
  <Characters>5135</Characters>
  <Lines>243</Lines>
  <Paragraphs>68</Paragraphs>
  <TotalTime>0</TotalTime>
  <ScaleCrop>false</ScaleCrop>
  <LinksUpToDate>false</LinksUpToDate>
  <CharactersWithSpaces>5948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2026-08-10T01:29:44Z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